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6"/>
        <w:ind w:left="1553" w:right="0" w:firstLine="0"/>
        <w:jc w:val="left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288832">
                <wp:simplePos x="0" y="0"/>
                <wp:positionH relativeFrom="page">
                  <wp:posOffset>323850</wp:posOffset>
                </wp:positionH>
                <wp:positionV relativeFrom="page">
                  <wp:posOffset>2273935</wp:posOffset>
                </wp:positionV>
                <wp:extent cx="6042025" cy="1905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04202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2025" h="19050">
                              <a:moveTo>
                                <a:pt x="6041771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041771" y="19050"/>
                              </a:lnTo>
                              <a:lnTo>
                                <a:pt x="60417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5.5pt;margin-top:179.050003pt;width:475.73pt;height:1.5pt;mso-position-horizontal-relative:page;mso-position-vertical-relative:page;z-index:-16027648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22"/>
        </w:rPr>
        <w:t>SECRETARIA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MUNICIPAL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DIREITOS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HUMANOS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CIDADANIA</w:t>
      </w:r>
      <w:r>
        <w:rPr>
          <w:b/>
          <w:spacing w:val="5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1"/>
          <w:sz w:val="22"/>
        </w:rPr>
        <w:t> </w:t>
      </w:r>
      <w:r>
        <w:rPr>
          <w:b/>
          <w:spacing w:val="-2"/>
          <w:sz w:val="22"/>
        </w:rPr>
        <w:t>SMDHC</w:t>
      </w:r>
    </w:p>
    <w:p>
      <w:pPr>
        <w:spacing w:before="241"/>
        <w:ind w:left="51" w:right="135" w:firstLine="0"/>
        <w:jc w:val="center"/>
        <w:rPr>
          <w:b/>
          <w:sz w:val="22"/>
        </w:rPr>
      </w:pPr>
      <w:r>
        <w:rPr>
          <w:b/>
          <w:sz w:val="22"/>
        </w:rPr>
        <w:t>COORDENAÇÃO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POLÍTICAS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PARA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IMIGRANTES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PROMOÇÃO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TRABALHO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DECENTE</w:t>
      </w:r>
      <w:r>
        <w:rPr>
          <w:b/>
          <w:spacing w:val="6"/>
          <w:sz w:val="22"/>
        </w:rPr>
        <w:t> </w:t>
      </w:r>
      <w:r>
        <w:rPr>
          <w:b/>
          <w:spacing w:val="-10"/>
          <w:sz w:val="22"/>
        </w:rPr>
        <w:t>-</w:t>
      </w:r>
    </w:p>
    <w:p>
      <w:pPr>
        <w:spacing w:before="42"/>
        <w:ind w:left="43" w:right="851" w:firstLine="0"/>
        <w:jc w:val="center"/>
        <w:rPr>
          <w:b/>
          <w:sz w:val="22"/>
        </w:rPr>
      </w:pPr>
      <w:r>
        <w:rPr>
          <w:b/>
          <w:spacing w:val="-2"/>
          <w:sz w:val="22"/>
        </w:rPr>
        <w:t>CPIPTD</w:t>
      </w:r>
    </w:p>
    <w:p>
      <w:pPr>
        <w:spacing w:line="451" w:lineRule="auto" w:before="242"/>
        <w:ind w:left="1779" w:right="1862" w:firstLine="0"/>
        <w:jc w:val="center"/>
        <w:rPr>
          <w:b/>
          <w:sz w:val="22"/>
        </w:rPr>
      </w:pPr>
      <w:r>
        <w:rPr>
          <w:b/>
          <w:sz w:val="22"/>
        </w:rPr>
        <w:t>DEPARTAMENTO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PARTICIPAÇÃO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SOCIAL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DPS CONSELHO MUNICIPAL DOS IMIGRANTES - CMI</w:t>
      </w:r>
    </w:p>
    <w:p>
      <w:pPr>
        <w:pStyle w:val="Title"/>
        <w:spacing w:line="362" w:lineRule="auto"/>
      </w:pPr>
      <w:r>
        <w:rPr/>
        <w:t>ATA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92ª</w:t>
      </w:r>
      <w:r>
        <w:rPr>
          <w:spacing w:val="-6"/>
        </w:rPr>
        <w:t> </w:t>
      </w:r>
      <w:r>
        <w:rPr/>
        <w:t>REUNIÃO</w:t>
      </w:r>
      <w:r>
        <w:rPr>
          <w:spacing w:val="-8"/>
        </w:rPr>
        <w:t> </w:t>
      </w:r>
      <w:r>
        <w:rPr/>
        <w:t>ORDINÁRIA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CONSELHO</w:t>
      </w:r>
      <w:r>
        <w:rPr>
          <w:spacing w:val="-3"/>
        </w:rPr>
        <w:t> </w:t>
      </w:r>
      <w:r>
        <w:rPr/>
        <w:t>MUNICIPAL</w:t>
      </w:r>
      <w:r>
        <w:rPr>
          <w:spacing w:val="-2"/>
        </w:rPr>
        <w:t> </w:t>
      </w:r>
      <w:r>
        <w:rPr/>
        <w:t>DE IMIGRANTES 21/07/2026</w:t>
      </w:r>
    </w:p>
    <w:p>
      <w:pPr>
        <w:pStyle w:val="Heading1"/>
        <w:spacing w:before="150"/>
      </w:pPr>
      <w:r>
        <w:rPr>
          <w:spacing w:val="-2"/>
        </w:rPr>
        <w:t>Informes:</w:t>
      </w:r>
    </w:p>
    <w:p>
      <w:pPr>
        <w:pStyle w:val="ListParagraph"/>
        <w:numPr>
          <w:ilvl w:val="0"/>
          <w:numId w:val="1"/>
        </w:numPr>
        <w:tabs>
          <w:tab w:pos="846" w:val="left" w:leader="none"/>
        </w:tabs>
        <w:spacing w:line="240" w:lineRule="auto" w:before="137" w:after="0"/>
        <w:ind w:left="846" w:right="0" w:hanging="359"/>
        <w:jc w:val="left"/>
        <w:rPr>
          <w:sz w:val="22"/>
        </w:rPr>
      </w:pPr>
      <w:r>
        <w:rPr>
          <w:sz w:val="22"/>
        </w:rPr>
        <w:t>Apresentação</w:t>
      </w:r>
      <w:r>
        <w:rPr>
          <w:spacing w:val="-5"/>
          <w:sz w:val="22"/>
        </w:rPr>
        <w:t> </w:t>
      </w:r>
      <w:r>
        <w:rPr>
          <w:sz w:val="22"/>
        </w:rPr>
        <w:t>da</w:t>
      </w:r>
      <w:r>
        <w:rPr>
          <w:spacing w:val="-3"/>
          <w:sz w:val="22"/>
        </w:rPr>
        <w:t> </w:t>
      </w:r>
      <w:r>
        <w:rPr>
          <w:sz w:val="22"/>
        </w:rPr>
        <w:t>presidência</w:t>
      </w:r>
      <w:r>
        <w:rPr>
          <w:spacing w:val="-3"/>
          <w:sz w:val="22"/>
        </w:rPr>
        <w:t> </w:t>
      </w:r>
      <w:r>
        <w:rPr>
          <w:sz w:val="22"/>
        </w:rPr>
        <w:t>do</w:t>
      </w:r>
      <w:r>
        <w:rPr>
          <w:spacing w:val="-4"/>
          <w:sz w:val="22"/>
        </w:rPr>
        <w:t> </w:t>
      </w:r>
      <w:r>
        <w:rPr>
          <w:sz w:val="22"/>
        </w:rPr>
        <w:t>Conselho</w:t>
      </w:r>
      <w:r>
        <w:rPr>
          <w:spacing w:val="-3"/>
          <w:sz w:val="22"/>
        </w:rPr>
        <w:t> </w:t>
      </w:r>
      <w:r>
        <w:rPr>
          <w:sz w:val="22"/>
        </w:rPr>
        <w:t>Municipal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Imigrantes</w:t>
      </w:r>
    </w:p>
    <w:p>
      <w:pPr>
        <w:pStyle w:val="ListParagraph"/>
        <w:numPr>
          <w:ilvl w:val="0"/>
          <w:numId w:val="1"/>
        </w:numPr>
        <w:tabs>
          <w:tab w:pos="846" w:val="left" w:leader="none"/>
        </w:tabs>
        <w:spacing w:line="240" w:lineRule="auto" w:before="131" w:after="0"/>
        <w:ind w:left="846" w:right="0" w:hanging="359"/>
        <w:jc w:val="left"/>
        <w:rPr>
          <w:sz w:val="22"/>
        </w:rPr>
      </w:pPr>
      <w:r>
        <w:rPr>
          <w:sz w:val="22"/>
        </w:rPr>
        <w:t>Balanço</w:t>
      </w:r>
      <w:r>
        <w:rPr>
          <w:spacing w:val="-3"/>
          <w:sz w:val="22"/>
        </w:rPr>
        <w:t> </w:t>
      </w:r>
      <w:r>
        <w:rPr>
          <w:sz w:val="22"/>
        </w:rPr>
        <w:t>das</w:t>
      </w:r>
      <w:r>
        <w:rPr>
          <w:spacing w:val="-4"/>
          <w:sz w:val="22"/>
        </w:rPr>
        <w:t> </w:t>
      </w:r>
      <w:r>
        <w:rPr>
          <w:sz w:val="22"/>
        </w:rPr>
        <w:t>atividades</w:t>
      </w:r>
      <w:r>
        <w:rPr>
          <w:spacing w:val="-3"/>
          <w:sz w:val="22"/>
        </w:rPr>
        <w:t> </w:t>
      </w:r>
      <w:r>
        <w:rPr>
          <w:sz w:val="22"/>
        </w:rPr>
        <w:t>realizadas</w:t>
      </w:r>
      <w:r>
        <w:rPr>
          <w:spacing w:val="-4"/>
          <w:sz w:val="22"/>
        </w:rPr>
        <w:t> </w:t>
      </w:r>
      <w:r>
        <w:rPr>
          <w:sz w:val="22"/>
        </w:rPr>
        <w:t>pelo</w:t>
      </w:r>
      <w:r>
        <w:rPr>
          <w:spacing w:val="-4"/>
          <w:sz w:val="22"/>
        </w:rPr>
        <w:t> </w:t>
      </w:r>
      <w:r>
        <w:rPr>
          <w:sz w:val="22"/>
        </w:rPr>
        <w:t>CMI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3"/>
          <w:sz w:val="22"/>
        </w:rPr>
        <w:t> </w:t>
      </w:r>
      <w:r>
        <w:rPr>
          <w:sz w:val="22"/>
        </w:rPr>
        <w:t>1º</w:t>
      </w:r>
      <w:r>
        <w:rPr>
          <w:spacing w:val="-1"/>
          <w:sz w:val="22"/>
        </w:rPr>
        <w:t> </w:t>
      </w:r>
      <w:r>
        <w:rPr>
          <w:sz w:val="22"/>
        </w:rPr>
        <w:t>semestre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2026</w:t>
      </w:r>
    </w:p>
    <w:p>
      <w:pPr>
        <w:pStyle w:val="ListParagraph"/>
        <w:numPr>
          <w:ilvl w:val="0"/>
          <w:numId w:val="1"/>
        </w:numPr>
        <w:tabs>
          <w:tab w:pos="846" w:val="left" w:leader="none"/>
          <w:tab w:pos="848" w:val="left" w:leader="none"/>
        </w:tabs>
        <w:spacing w:line="362" w:lineRule="auto" w:before="137" w:after="0"/>
        <w:ind w:left="848" w:right="804" w:hanging="361"/>
        <w:jc w:val="left"/>
        <w:rPr>
          <w:sz w:val="22"/>
        </w:rPr>
      </w:pPr>
      <w:r>
        <w:rPr>
          <w:sz w:val="22"/>
        </w:rPr>
        <w:t>Próximo</w:t>
      </w:r>
      <w:r>
        <w:rPr>
          <w:spacing w:val="-4"/>
          <w:sz w:val="22"/>
        </w:rPr>
        <w:t> </w:t>
      </w:r>
      <w:r>
        <w:rPr>
          <w:sz w:val="22"/>
        </w:rPr>
        <w:t>encontro</w:t>
      </w:r>
      <w:r>
        <w:rPr>
          <w:spacing w:val="-4"/>
          <w:sz w:val="22"/>
        </w:rPr>
        <w:t> </w:t>
      </w:r>
      <w:r>
        <w:rPr>
          <w:sz w:val="22"/>
        </w:rPr>
        <w:t>formativo:</w:t>
      </w:r>
      <w:r>
        <w:rPr>
          <w:spacing w:val="-3"/>
          <w:sz w:val="22"/>
        </w:rPr>
        <w:t> </w:t>
      </w:r>
      <w:r>
        <w:rPr>
          <w:sz w:val="22"/>
        </w:rPr>
        <w:t>Políticas</w:t>
      </w:r>
      <w:r>
        <w:rPr>
          <w:spacing w:val="-5"/>
          <w:sz w:val="22"/>
        </w:rPr>
        <w:t> </w:t>
      </w:r>
      <w:r>
        <w:rPr>
          <w:sz w:val="22"/>
        </w:rPr>
        <w:t>públicas</w:t>
      </w:r>
      <w:r>
        <w:rPr>
          <w:spacing w:val="-5"/>
          <w:sz w:val="22"/>
        </w:rPr>
        <w:t> </w:t>
      </w:r>
      <w:r>
        <w:rPr>
          <w:sz w:val="22"/>
        </w:rPr>
        <w:t>municipais</w:t>
      </w:r>
      <w:r>
        <w:rPr>
          <w:spacing w:val="-5"/>
          <w:sz w:val="22"/>
        </w:rPr>
        <w:t> </w:t>
      </w:r>
      <w:r>
        <w:rPr>
          <w:sz w:val="22"/>
        </w:rPr>
        <w:t>para</w:t>
      </w:r>
      <w:r>
        <w:rPr>
          <w:spacing w:val="-4"/>
          <w:sz w:val="22"/>
        </w:rPr>
        <w:t> </w:t>
      </w:r>
      <w:r>
        <w:rPr>
          <w:sz w:val="22"/>
        </w:rPr>
        <w:t>os</w:t>
      </w:r>
      <w:r>
        <w:rPr>
          <w:spacing w:val="-5"/>
          <w:sz w:val="22"/>
        </w:rPr>
        <w:t> </w:t>
      </w:r>
      <w:r>
        <w:rPr>
          <w:sz w:val="22"/>
        </w:rPr>
        <w:t>povos</w:t>
      </w:r>
      <w:r>
        <w:rPr>
          <w:spacing w:val="-5"/>
          <w:sz w:val="22"/>
        </w:rPr>
        <w:t> </w:t>
      </w:r>
      <w:r>
        <w:rPr>
          <w:sz w:val="22"/>
        </w:rPr>
        <w:t>indígenas, Reunião do CMI- 18/08/2026 - às 15h.</w:t>
      </w:r>
    </w:p>
    <w:p>
      <w:pPr>
        <w:pStyle w:val="ListParagraph"/>
        <w:numPr>
          <w:ilvl w:val="0"/>
          <w:numId w:val="1"/>
        </w:numPr>
        <w:tabs>
          <w:tab w:pos="846" w:val="left" w:leader="none"/>
          <w:tab w:pos="848" w:val="left" w:leader="none"/>
        </w:tabs>
        <w:spacing w:line="362" w:lineRule="auto" w:before="0" w:after="0"/>
        <w:ind w:left="848" w:right="237" w:hanging="361"/>
        <w:jc w:val="left"/>
        <w:rPr>
          <w:sz w:val="22"/>
        </w:rPr>
      </w:pPr>
      <w:r>
        <w:rPr>
          <w:sz w:val="22"/>
        </w:rPr>
        <w:t>Próxima</w:t>
      </w:r>
      <w:r>
        <w:rPr>
          <w:spacing w:val="-4"/>
          <w:sz w:val="22"/>
        </w:rPr>
        <w:t> </w:t>
      </w:r>
      <w:r>
        <w:rPr>
          <w:sz w:val="22"/>
        </w:rPr>
        <w:t>visita</w:t>
      </w:r>
      <w:r>
        <w:rPr>
          <w:spacing w:val="-4"/>
          <w:sz w:val="22"/>
        </w:rPr>
        <w:t> </w:t>
      </w:r>
      <w:r>
        <w:rPr>
          <w:sz w:val="22"/>
        </w:rPr>
        <w:t>educativo:</w:t>
      </w:r>
      <w:r>
        <w:rPr>
          <w:spacing w:val="-3"/>
          <w:sz w:val="22"/>
        </w:rPr>
        <w:t> </w:t>
      </w:r>
      <w:r>
        <w:rPr>
          <w:sz w:val="22"/>
        </w:rPr>
        <w:t>Museu</w:t>
      </w:r>
      <w:r>
        <w:rPr>
          <w:spacing w:val="-4"/>
          <w:sz w:val="22"/>
        </w:rPr>
        <w:t> </w:t>
      </w:r>
      <w:r>
        <w:rPr>
          <w:sz w:val="22"/>
        </w:rPr>
        <w:t>das</w:t>
      </w:r>
      <w:r>
        <w:rPr>
          <w:spacing w:val="-5"/>
          <w:sz w:val="22"/>
        </w:rPr>
        <w:t> </w:t>
      </w:r>
      <w:r>
        <w:rPr>
          <w:sz w:val="22"/>
        </w:rPr>
        <w:t>Culturas</w:t>
      </w:r>
      <w:r>
        <w:rPr>
          <w:spacing w:val="-5"/>
          <w:sz w:val="22"/>
        </w:rPr>
        <w:t> </w:t>
      </w:r>
      <w:r>
        <w:rPr>
          <w:sz w:val="22"/>
        </w:rPr>
        <w:t>Indígenas</w:t>
      </w:r>
      <w:r>
        <w:rPr>
          <w:spacing w:val="-1"/>
          <w:sz w:val="22"/>
        </w:rPr>
        <w:t> </w:t>
      </w:r>
      <w:r>
        <w:rPr>
          <w:sz w:val="22"/>
        </w:rPr>
        <w:t>-</w:t>
      </w:r>
      <w:r>
        <w:rPr>
          <w:spacing w:val="-1"/>
          <w:sz w:val="22"/>
        </w:rPr>
        <w:t> </w:t>
      </w:r>
      <w:r>
        <w:rPr>
          <w:sz w:val="22"/>
        </w:rPr>
        <w:t>dia</w:t>
      </w:r>
      <w:r>
        <w:rPr>
          <w:spacing w:val="-4"/>
          <w:sz w:val="22"/>
        </w:rPr>
        <w:t> </w:t>
      </w:r>
      <w:r>
        <w:rPr>
          <w:sz w:val="22"/>
        </w:rPr>
        <w:t>27/08,</w:t>
      </w:r>
      <w:r>
        <w:rPr>
          <w:spacing w:val="-3"/>
          <w:sz w:val="22"/>
        </w:rPr>
        <w:t> </w:t>
      </w:r>
      <w:r>
        <w:rPr>
          <w:sz w:val="22"/>
        </w:rPr>
        <w:t>no</w:t>
      </w:r>
      <w:r>
        <w:rPr>
          <w:spacing w:val="-4"/>
          <w:sz w:val="22"/>
        </w:rPr>
        <w:t> </w:t>
      </w:r>
      <w:r>
        <w:rPr>
          <w:sz w:val="22"/>
        </w:rPr>
        <w:t>horário</w:t>
      </w:r>
      <w:r>
        <w:rPr>
          <w:spacing w:val="-5"/>
          <w:sz w:val="22"/>
        </w:rPr>
        <w:t> </w:t>
      </w:r>
      <w:r>
        <w:rPr>
          <w:sz w:val="22"/>
        </w:rPr>
        <w:t>das 18h30 às 20h</w:t>
      </w:r>
    </w:p>
    <w:p>
      <w:pPr>
        <w:pStyle w:val="ListParagraph"/>
        <w:numPr>
          <w:ilvl w:val="0"/>
          <w:numId w:val="1"/>
        </w:numPr>
        <w:tabs>
          <w:tab w:pos="846" w:val="left" w:leader="none"/>
        </w:tabs>
        <w:spacing w:line="263" w:lineRule="exact" w:before="0" w:after="0"/>
        <w:ind w:left="846" w:right="0" w:hanging="359"/>
        <w:jc w:val="left"/>
        <w:rPr>
          <w:sz w:val="22"/>
        </w:rPr>
      </w:pPr>
      <w:r>
        <w:rPr>
          <w:sz w:val="22"/>
        </w:rPr>
        <w:t>Confecção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novos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crachás</w:t>
      </w:r>
    </w:p>
    <w:p>
      <w:pPr>
        <w:pStyle w:val="ListParagraph"/>
        <w:numPr>
          <w:ilvl w:val="0"/>
          <w:numId w:val="1"/>
        </w:numPr>
        <w:tabs>
          <w:tab w:pos="846" w:val="left" w:leader="none"/>
        </w:tabs>
        <w:spacing w:line="240" w:lineRule="auto" w:before="130" w:after="0"/>
        <w:ind w:left="846" w:right="0" w:hanging="359"/>
        <w:jc w:val="left"/>
        <w:rPr>
          <w:sz w:val="22"/>
        </w:rPr>
      </w:pPr>
      <w:r>
        <w:rPr>
          <w:sz w:val="22"/>
        </w:rPr>
        <w:t>Auxílio</w:t>
      </w:r>
      <w:r>
        <w:rPr>
          <w:spacing w:val="-6"/>
          <w:sz w:val="22"/>
        </w:rPr>
        <w:t> </w:t>
      </w:r>
      <w:r>
        <w:rPr>
          <w:sz w:val="22"/>
        </w:rPr>
        <w:t>transporte</w:t>
      </w:r>
      <w:r>
        <w:rPr>
          <w:spacing w:val="-4"/>
          <w:sz w:val="22"/>
        </w:rPr>
        <w:t> </w:t>
      </w:r>
      <w:r>
        <w:rPr>
          <w:sz w:val="22"/>
        </w:rPr>
        <w:t>para</w:t>
      </w:r>
      <w:r>
        <w:rPr>
          <w:spacing w:val="-1"/>
          <w:sz w:val="22"/>
        </w:rPr>
        <w:t> </w:t>
      </w:r>
      <w:r>
        <w:rPr>
          <w:sz w:val="22"/>
        </w:rPr>
        <w:t>os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conselheiros/as</w:t>
      </w:r>
    </w:p>
    <w:p>
      <w:pPr>
        <w:pStyle w:val="ListParagraph"/>
        <w:numPr>
          <w:ilvl w:val="0"/>
          <w:numId w:val="1"/>
        </w:numPr>
        <w:tabs>
          <w:tab w:pos="846" w:val="left" w:leader="none"/>
        </w:tabs>
        <w:spacing w:line="240" w:lineRule="auto" w:before="132" w:after="0"/>
        <w:ind w:left="846" w:right="0" w:hanging="359"/>
        <w:jc w:val="left"/>
        <w:rPr>
          <w:sz w:val="22"/>
        </w:rPr>
      </w:pPr>
      <w:r>
        <w:rPr>
          <w:sz w:val="22"/>
        </w:rPr>
        <w:t>Celpe-Bras</w:t>
      </w:r>
      <w:r>
        <w:rPr>
          <w:spacing w:val="-4"/>
          <w:sz w:val="22"/>
        </w:rPr>
        <w:t> </w:t>
      </w:r>
      <w:r>
        <w:rPr>
          <w:sz w:val="22"/>
        </w:rPr>
        <w:t>na</w:t>
      </w:r>
      <w:r>
        <w:rPr>
          <w:spacing w:val="-2"/>
          <w:sz w:val="22"/>
        </w:rPr>
        <w:t> </w:t>
      </w:r>
      <w:r>
        <w:rPr>
          <w:sz w:val="22"/>
        </w:rPr>
        <w:t>Faculdade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Phorte</w:t>
      </w:r>
    </w:p>
    <w:p>
      <w:pPr>
        <w:pStyle w:val="ListParagraph"/>
        <w:numPr>
          <w:ilvl w:val="0"/>
          <w:numId w:val="1"/>
        </w:numPr>
        <w:tabs>
          <w:tab w:pos="846" w:val="left" w:leader="none"/>
        </w:tabs>
        <w:spacing w:line="240" w:lineRule="auto" w:before="136" w:after="0"/>
        <w:ind w:left="846" w:right="0" w:hanging="359"/>
        <w:jc w:val="left"/>
        <w:rPr>
          <w:sz w:val="22"/>
        </w:rPr>
      </w:pPr>
      <w:r>
        <w:rPr>
          <w:sz w:val="22"/>
        </w:rPr>
        <w:t>Informe</w:t>
      </w:r>
      <w:r>
        <w:rPr>
          <w:spacing w:val="-9"/>
          <w:sz w:val="22"/>
        </w:rPr>
        <w:t> </w:t>
      </w:r>
      <w:r>
        <w:rPr>
          <w:sz w:val="22"/>
        </w:rPr>
        <w:t>Reina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Malak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Heading1"/>
      </w:pPr>
      <w:r>
        <w:rPr>
          <w:spacing w:val="-2"/>
        </w:rPr>
        <w:t>Pautas:</w:t>
      </w:r>
    </w:p>
    <w:p>
      <w:pPr>
        <w:pStyle w:val="ListParagraph"/>
        <w:numPr>
          <w:ilvl w:val="0"/>
          <w:numId w:val="2"/>
        </w:numPr>
        <w:tabs>
          <w:tab w:pos="846" w:val="left" w:leader="none"/>
          <w:tab w:pos="848" w:val="left" w:leader="none"/>
        </w:tabs>
        <w:spacing w:line="360" w:lineRule="auto" w:before="137" w:after="0"/>
        <w:ind w:left="848" w:right="218" w:hanging="361"/>
        <w:jc w:val="both"/>
        <w:rPr>
          <w:sz w:val="22"/>
        </w:rPr>
      </w:pPr>
      <w:r>
        <w:rPr>
          <w:b/>
          <w:sz w:val="22"/>
        </w:rPr>
        <w:t>Processo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Administrativo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para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Apuração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Conduta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Incompatível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com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o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Funcionamento do Conselho: </w:t>
      </w:r>
      <w:r>
        <w:rPr>
          <w:sz w:val="22"/>
        </w:rPr>
        <w:t>discussão e deliberação sobre o relatório elaborado a respeito de conflitos ocorridos no grupo oficial de WhatsApp do CMI.</w:t>
      </w:r>
    </w:p>
    <w:p>
      <w:pPr>
        <w:pStyle w:val="ListParagraph"/>
        <w:numPr>
          <w:ilvl w:val="0"/>
          <w:numId w:val="2"/>
        </w:numPr>
        <w:tabs>
          <w:tab w:pos="846" w:val="left" w:leader="none"/>
          <w:tab w:pos="848" w:val="left" w:leader="none"/>
        </w:tabs>
        <w:spacing w:line="360" w:lineRule="auto" w:before="0" w:after="0"/>
        <w:ind w:left="848" w:right="214" w:hanging="361"/>
        <w:jc w:val="both"/>
        <w:rPr>
          <w:sz w:val="22"/>
        </w:rPr>
      </w:pPr>
      <w:r>
        <w:rPr>
          <w:b/>
          <w:sz w:val="22"/>
        </w:rPr>
        <w:t>Proposição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uma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Ação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Civil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Pública</w:t>
      </w:r>
      <w:r>
        <w:rPr>
          <w:sz w:val="22"/>
        </w:rPr>
        <w:t>:</w:t>
      </w:r>
      <w:r>
        <w:rPr>
          <w:spacing w:val="-2"/>
          <w:sz w:val="22"/>
        </w:rPr>
        <w:t> </w:t>
      </w:r>
      <w:r>
        <w:rPr>
          <w:sz w:val="22"/>
        </w:rPr>
        <w:t>retirar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obrigatoriedade da</w:t>
      </w:r>
      <w:r>
        <w:rPr>
          <w:spacing w:val="-3"/>
          <w:sz w:val="22"/>
        </w:rPr>
        <w:t> </w:t>
      </w:r>
      <w:r>
        <w:rPr>
          <w:sz w:val="22"/>
        </w:rPr>
        <w:t>proficiência</w:t>
      </w:r>
      <w:r>
        <w:rPr>
          <w:spacing w:val="-3"/>
          <w:sz w:val="22"/>
        </w:rPr>
        <w:t> </w:t>
      </w:r>
      <w:r>
        <w:rPr>
          <w:sz w:val="22"/>
        </w:rPr>
        <w:t>em</w:t>
      </w:r>
      <w:r>
        <w:rPr>
          <w:spacing w:val="-3"/>
          <w:sz w:val="22"/>
        </w:rPr>
        <w:t> </w:t>
      </w:r>
      <w:r>
        <w:rPr>
          <w:sz w:val="22"/>
        </w:rPr>
        <w:t>língua portuguesa na solicitação da naturalização brasileira para pessoas surdas, pessoas com alguma outra deficiência, pessoas idosas, pessoas com doenças crônicas que possam dificultar ou impedir a aprendizagem de um novo idioma, pessoas analfabetas e pessoas regularmente matriculadas em algum curso profissionalizante ou de nível superior no </w:t>
      </w:r>
      <w:r>
        <w:rPr>
          <w:spacing w:val="-2"/>
          <w:sz w:val="22"/>
        </w:rPr>
        <w:t>Brasil</w:t>
      </w:r>
    </w:p>
    <w:p>
      <w:pPr>
        <w:pStyle w:val="ListParagraph"/>
        <w:numPr>
          <w:ilvl w:val="0"/>
          <w:numId w:val="2"/>
        </w:numPr>
        <w:tabs>
          <w:tab w:pos="846" w:val="left" w:leader="none"/>
          <w:tab w:pos="848" w:val="left" w:leader="none"/>
        </w:tabs>
        <w:spacing w:line="357" w:lineRule="auto" w:before="0" w:after="0"/>
        <w:ind w:left="848" w:right="203" w:hanging="361"/>
        <w:jc w:val="both"/>
        <w:rPr>
          <w:sz w:val="22"/>
        </w:rPr>
      </w:pPr>
      <w:r>
        <w:rPr>
          <w:b/>
          <w:sz w:val="22"/>
        </w:rPr>
        <w:t>Denúncia Relacionada à Comunidade Angolana e Demandas da Sociedade Civil</w:t>
      </w:r>
      <w:r>
        <w:rPr>
          <w:sz w:val="22"/>
        </w:rPr>
        <w:t>: espaço destinado à apresentação de demandas trazidas por representantes da sociedade civil.</w:t>
      </w:r>
    </w:p>
    <w:p>
      <w:pPr>
        <w:pStyle w:val="ListParagraph"/>
        <w:spacing w:after="0" w:line="357" w:lineRule="auto"/>
        <w:jc w:val="both"/>
        <w:rPr>
          <w:sz w:val="22"/>
        </w:rPr>
        <w:sectPr>
          <w:type w:val="continuous"/>
          <w:pgSz w:w="11910" w:h="16840"/>
          <w:pgMar w:top="1340" w:bottom="280" w:left="1133" w:right="1700"/>
        </w:sectPr>
      </w:pPr>
    </w:p>
    <w:p>
      <w:pPr>
        <w:pStyle w:val="BodyText"/>
        <w:spacing w:line="276" w:lineRule="auto" w:before="76"/>
        <w:ind w:right="203"/>
        <w:jc w:val="both"/>
      </w:pPr>
      <w:r>
        <w:rPr>
          <w:b/>
        </w:rPr>
        <w:t>Participantes da Prefeitura de São Paulo / Poder Público:</w:t>
      </w:r>
      <w:r>
        <w:rPr>
          <w:b/>
          <w:spacing w:val="40"/>
        </w:rPr>
        <w:t> </w:t>
      </w:r>
      <w:r>
        <w:rPr/>
        <w:t>Mona Perlingeiro – SMDHC (Coordenação de Políticas para Imigrantes e Promoção do Trabalho Decente); Stefany Rodrigues de</w:t>
      </w:r>
      <w:r>
        <w:rPr>
          <w:spacing w:val="-3"/>
        </w:rPr>
        <w:t> </w:t>
      </w:r>
      <w:r>
        <w:rPr/>
        <w:t>Moura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SMDHC</w:t>
      </w:r>
      <w:r>
        <w:rPr>
          <w:spacing w:val="-5"/>
        </w:rPr>
        <w:t> </w:t>
      </w:r>
      <w:r>
        <w:rPr/>
        <w:t>(Coordenação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Políticas</w:t>
      </w:r>
      <w:r>
        <w:rPr>
          <w:spacing w:val="-5"/>
        </w:rPr>
        <w:t> </w:t>
      </w:r>
      <w:r>
        <w:rPr/>
        <w:t>para</w:t>
      </w:r>
      <w:r>
        <w:rPr>
          <w:spacing w:val="-4"/>
        </w:rPr>
        <w:t> </w:t>
      </w:r>
      <w:r>
        <w:rPr/>
        <w:t>Imigrantes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Promoção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Trabalho</w:t>
      </w:r>
      <w:r>
        <w:rPr>
          <w:spacing w:val="-5"/>
        </w:rPr>
        <w:t> </w:t>
      </w:r>
      <w:r>
        <w:rPr/>
        <w:t>Decente); João</w:t>
      </w:r>
      <w:r>
        <w:rPr>
          <w:spacing w:val="37"/>
        </w:rPr>
        <w:t> </w:t>
      </w:r>
      <w:r>
        <w:rPr/>
        <w:t>Victor</w:t>
      </w:r>
      <w:r>
        <w:rPr>
          <w:spacing w:val="-8"/>
        </w:rPr>
        <w:t> </w:t>
      </w:r>
      <w:r>
        <w:rPr/>
        <w:t>Vieira</w:t>
      </w:r>
      <w:r>
        <w:rPr>
          <w:spacing w:val="-7"/>
        </w:rPr>
        <w:t> </w:t>
      </w:r>
      <w:r>
        <w:rPr/>
        <w:t>de</w:t>
      </w:r>
      <w:r>
        <w:rPr>
          <w:spacing w:val="-1"/>
        </w:rPr>
        <w:t> </w:t>
      </w:r>
      <w:r>
        <w:rPr/>
        <w:t>Almeida –</w:t>
      </w:r>
      <w:r>
        <w:rPr>
          <w:spacing w:val="-5"/>
        </w:rPr>
        <w:t> </w:t>
      </w:r>
      <w:r>
        <w:rPr/>
        <w:t>SMDHC</w:t>
      </w:r>
      <w:r>
        <w:rPr>
          <w:spacing w:val="-3"/>
        </w:rPr>
        <w:t> </w:t>
      </w:r>
      <w:r>
        <w:rPr/>
        <w:t>(Coordenação</w:t>
      </w:r>
      <w:r>
        <w:rPr>
          <w:spacing w:val="-8"/>
        </w:rPr>
        <w:t> </w:t>
      </w:r>
      <w:r>
        <w:rPr/>
        <w:t>de</w:t>
      </w:r>
      <w:r>
        <w:rPr>
          <w:spacing w:val="-1"/>
        </w:rPr>
        <w:t> </w:t>
      </w:r>
      <w:r>
        <w:rPr/>
        <w:t>Políticas</w:t>
      </w:r>
      <w:r>
        <w:rPr>
          <w:spacing w:val="-7"/>
        </w:rPr>
        <w:t> </w:t>
      </w:r>
      <w:r>
        <w:rPr/>
        <w:t>para</w:t>
      </w:r>
      <w:r>
        <w:rPr>
          <w:spacing w:val="-7"/>
        </w:rPr>
        <w:t> </w:t>
      </w:r>
      <w:r>
        <w:rPr/>
        <w:t>Imigrantes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/>
        <w:t>Promoção</w:t>
      </w:r>
      <w:r>
        <w:rPr>
          <w:spacing w:val="-8"/>
        </w:rPr>
        <w:t> </w:t>
      </w:r>
      <w:r>
        <w:rPr/>
        <w:t>do Trabalho Decente);</w:t>
      </w:r>
      <w:r>
        <w:rPr>
          <w:spacing w:val="40"/>
        </w:rPr>
        <w:t> </w:t>
      </w:r>
      <w:r>
        <w:rPr/>
        <w:t>Patricia Ruth Prudencio Torrez - SMDHC (Coordenação de Políticas para Imigrantes e Promoção do Trabalho Decente); Leonardo Alves Lopes – SMDHC (Coordenação de Políticas para Imigrantes e Promoção do Trabalho Decente); Sílvia Mungongo – SMDHC (Coordenação de Políticas para Imigrantes e Promoção do Trabalho Decente); Sofia Jardim – SMDHC (Coordenação de Políticas para Imigrantes e Promoção do Trabalho Decente); Vitória Benuthe – SMDET; Maria Eduarda de Oliveira Alves – CRAI ORIANA JARA; Fernanda Lanes Aguiar Cezar – SMADS; Guilherme Roncoletta – SMDET.</w:t>
      </w:r>
    </w:p>
    <w:p>
      <w:pPr>
        <w:pStyle w:val="BodyText"/>
        <w:spacing w:line="276" w:lineRule="auto" w:before="244"/>
        <w:ind w:right="203"/>
        <w:jc w:val="both"/>
      </w:pPr>
      <w:r>
        <w:rPr>
          <w:b/>
        </w:rPr>
        <w:t>Participantes da Sociedade Civil: </w:t>
      </w:r>
      <w:r>
        <w:rPr/>
        <w:t>Wendy Ledix; Fritzly Valcin – Instituto Missão Batista de Guaianases; Constance Salawe;</w:t>
      </w:r>
      <w:r>
        <w:rPr>
          <w:spacing w:val="40"/>
        </w:rPr>
        <w:t> </w:t>
      </w:r>
      <w:r>
        <w:rPr/>
        <w:t>Prudence Kalambay - Coletivo A Voz do Congo; Mariamma Bah; Merve Mumcu – Instituto Pelo Diálogo Intercultural; Fernanda Silva de Morais – Caritas Arquidiocesana de São Paulo;</w:t>
      </w:r>
      <w:r>
        <w:rPr>
          <w:spacing w:val="40"/>
        </w:rPr>
        <w:t> </w:t>
      </w:r>
      <w:r>
        <w:rPr/>
        <w:t>Tomasa Nancy Salva Guarachi – CAMI; Mayelin Mercedes Molleja; Eclair Pires de Souza – Identidade Humana; Shabir Ahmad Niazi</w:t>
      </w:r>
      <w:r>
        <w:rPr>
          <w:spacing w:val="40"/>
        </w:rPr>
        <w:t> </w:t>
      </w:r>
      <w:r>
        <w:rPr/>
        <w:t>- ARRO.</w:t>
      </w:r>
    </w:p>
    <w:p>
      <w:pPr>
        <w:spacing w:before="241"/>
        <w:ind w:left="127" w:right="0" w:firstLine="0"/>
        <w:jc w:val="both"/>
        <w:rPr>
          <w:sz w:val="22"/>
        </w:rPr>
      </w:pPr>
      <w:r>
        <w:rPr>
          <w:b/>
          <w:sz w:val="22"/>
        </w:rPr>
        <w:t>Membros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Observadores:</w:t>
      </w:r>
      <w:r>
        <w:rPr>
          <w:b/>
          <w:spacing w:val="-5"/>
          <w:sz w:val="22"/>
        </w:rPr>
        <w:t> </w:t>
      </w:r>
      <w:r>
        <w:rPr>
          <w:sz w:val="22"/>
        </w:rPr>
        <w:t>Carla</w:t>
      </w:r>
      <w:r>
        <w:rPr>
          <w:spacing w:val="-4"/>
          <w:sz w:val="22"/>
        </w:rPr>
        <w:t> </w:t>
      </w:r>
      <w:r>
        <w:rPr>
          <w:sz w:val="22"/>
        </w:rPr>
        <w:t>Herminia</w:t>
      </w:r>
      <w:r>
        <w:rPr>
          <w:spacing w:val="-3"/>
          <w:sz w:val="22"/>
        </w:rPr>
        <w:t> </w:t>
      </w:r>
      <w:r>
        <w:rPr>
          <w:sz w:val="22"/>
        </w:rPr>
        <w:t>Mustafa</w:t>
      </w:r>
      <w:r>
        <w:rPr>
          <w:spacing w:val="-5"/>
          <w:sz w:val="22"/>
        </w:rPr>
        <w:t> </w:t>
      </w:r>
      <w:r>
        <w:rPr>
          <w:sz w:val="22"/>
        </w:rPr>
        <w:t>Barbosa</w:t>
      </w:r>
      <w:r>
        <w:rPr>
          <w:spacing w:val="-4"/>
          <w:sz w:val="22"/>
        </w:rPr>
        <w:t> </w:t>
      </w:r>
      <w:r>
        <w:rPr>
          <w:sz w:val="22"/>
        </w:rPr>
        <w:t>Ferreira</w:t>
      </w:r>
      <w:r>
        <w:rPr>
          <w:spacing w:val="-2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OAB/SP.</w:t>
      </w:r>
    </w:p>
    <w:p>
      <w:pPr>
        <w:pStyle w:val="BodyText"/>
        <w:spacing w:before="8"/>
        <w:ind w:left="0"/>
      </w:pPr>
    </w:p>
    <w:p>
      <w:pPr>
        <w:pStyle w:val="BodyText"/>
        <w:spacing w:line="276" w:lineRule="auto"/>
        <w:ind w:right="208"/>
        <w:jc w:val="both"/>
      </w:pPr>
      <w:r>
        <w:rPr>
          <w:b/>
        </w:rPr>
        <w:t>Ouvintes:</w:t>
      </w:r>
      <w:r>
        <w:rPr>
          <w:b/>
          <w:spacing w:val="-6"/>
        </w:rPr>
        <w:t> </w:t>
      </w:r>
      <w:r>
        <w:rPr/>
        <w:t>Tulio</w:t>
      </w:r>
      <w:r>
        <w:rPr>
          <w:spacing w:val="-5"/>
        </w:rPr>
        <w:t> </w:t>
      </w:r>
      <w:r>
        <w:rPr/>
        <w:t>loyelo</w:t>
      </w:r>
      <w:r>
        <w:rPr>
          <w:spacing w:val="-4"/>
        </w:rPr>
        <w:t> </w:t>
      </w:r>
      <w:r>
        <w:rPr/>
        <w:t>-</w:t>
      </w:r>
      <w:r>
        <w:rPr>
          <w:spacing w:val="-1"/>
        </w:rPr>
        <w:t> </w:t>
      </w:r>
      <w:r>
        <w:rPr/>
        <w:t>Faculdade</w:t>
      </w:r>
      <w:r>
        <w:rPr>
          <w:spacing w:val="-3"/>
        </w:rPr>
        <w:t> </w:t>
      </w:r>
      <w:r>
        <w:rPr/>
        <w:t>Phorte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Educação</w:t>
      </w:r>
      <w:r>
        <w:rPr>
          <w:spacing w:val="-5"/>
        </w:rPr>
        <w:t> </w:t>
      </w:r>
      <w:r>
        <w:rPr/>
        <w:t>e</w:t>
      </w:r>
      <w:r>
        <w:rPr>
          <w:spacing w:val="-11"/>
        </w:rPr>
        <w:t> </w:t>
      </w:r>
      <w:r>
        <w:rPr/>
        <w:t>Tecnologia;</w:t>
      </w:r>
      <w:r>
        <w:rPr>
          <w:spacing w:val="-1"/>
        </w:rPr>
        <w:t> </w:t>
      </w:r>
      <w:r>
        <w:rPr/>
        <w:t>Pietra</w:t>
      </w:r>
      <w:r>
        <w:rPr>
          <w:spacing w:val="-4"/>
        </w:rPr>
        <w:t> </w:t>
      </w:r>
      <w:r>
        <w:rPr/>
        <w:t>Nabarrete</w:t>
      </w:r>
      <w:r>
        <w:rPr>
          <w:spacing w:val="-1"/>
        </w:rPr>
        <w:t> </w:t>
      </w:r>
      <w:r>
        <w:rPr/>
        <w:t>–</w:t>
      </w:r>
      <w:r>
        <w:rPr>
          <w:spacing w:val="-3"/>
        </w:rPr>
        <w:t> </w:t>
      </w:r>
      <w:r>
        <w:rPr/>
        <w:t>ProMigra; Fábio Rodrigues - Projeto Cerzindo; Joyce Victória Pinheiro da Silva; Leandro João miguel - ASSOCIAÇÃO</w:t>
      </w:r>
      <w:r>
        <w:rPr>
          <w:spacing w:val="-13"/>
        </w:rPr>
        <w:t> </w:t>
      </w:r>
      <w:r>
        <w:rPr/>
        <w:t>DE</w:t>
      </w:r>
      <w:r>
        <w:rPr>
          <w:spacing w:val="-7"/>
        </w:rPr>
        <w:t> </w:t>
      </w:r>
      <w:r>
        <w:rPr/>
        <w:t>TODOS</w:t>
      </w:r>
      <w:r>
        <w:rPr>
          <w:spacing w:val="-11"/>
        </w:rPr>
        <w:t> </w:t>
      </w:r>
      <w:r>
        <w:rPr/>
        <w:t>IMIGRANTES</w:t>
      </w:r>
      <w:r>
        <w:rPr>
          <w:spacing w:val="-11"/>
        </w:rPr>
        <w:t> </w:t>
      </w:r>
      <w:r>
        <w:rPr/>
        <w:t>NO</w:t>
      </w:r>
      <w:r>
        <w:rPr>
          <w:spacing w:val="-11"/>
        </w:rPr>
        <w:t> </w:t>
      </w:r>
      <w:r>
        <w:rPr/>
        <w:t>BRASIL;</w:t>
      </w:r>
      <w:r>
        <w:rPr>
          <w:spacing w:val="-9"/>
        </w:rPr>
        <w:t> </w:t>
      </w:r>
      <w:r>
        <w:rPr/>
        <w:t>Lilian</w:t>
      </w:r>
      <w:r>
        <w:rPr>
          <w:spacing w:val="-13"/>
        </w:rPr>
        <w:t> </w:t>
      </w:r>
      <w:r>
        <w:rPr/>
        <w:t>Galvarro</w:t>
      </w:r>
      <w:r>
        <w:rPr>
          <w:spacing w:val="-10"/>
        </w:rPr>
        <w:t> </w:t>
      </w:r>
      <w:r>
        <w:rPr/>
        <w:t>-</w:t>
      </w:r>
      <w:r>
        <w:rPr>
          <w:spacing w:val="-8"/>
        </w:rPr>
        <w:t> </w:t>
      </w:r>
      <w:r>
        <w:rPr/>
        <w:t>ADRB</w:t>
      </w:r>
      <w:r>
        <w:rPr>
          <w:spacing w:val="-9"/>
        </w:rPr>
        <w:t> </w:t>
      </w:r>
      <w:r>
        <w:rPr/>
        <w:t>Associação</w:t>
      </w:r>
      <w:r>
        <w:rPr>
          <w:spacing w:val="-11"/>
        </w:rPr>
        <w:t> </w:t>
      </w:r>
      <w:r>
        <w:rPr/>
        <w:t>dos</w:t>
      </w:r>
      <w:r>
        <w:rPr>
          <w:spacing w:val="-10"/>
        </w:rPr>
        <w:t> </w:t>
      </w:r>
      <w:r>
        <w:rPr/>
        <w:t>Residentes Bolivianos;</w:t>
      </w:r>
      <w:r>
        <w:rPr>
          <w:spacing w:val="-13"/>
        </w:rPr>
        <w:t> </w:t>
      </w:r>
      <w:r>
        <w:rPr/>
        <w:t>Asmae</w:t>
      </w:r>
      <w:r>
        <w:rPr>
          <w:spacing w:val="-12"/>
        </w:rPr>
        <w:t> </w:t>
      </w:r>
      <w:r>
        <w:rPr/>
        <w:t>hajali;</w:t>
      </w:r>
      <w:r>
        <w:rPr>
          <w:spacing w:val="-13"/>
        </w:rPr>
        <w:t> </w:t>
      </w:r>
      <w:r>
        <w:rPr/>
        <w:t>Carlos</w:t>
      </w:r>
      <w:r>
        <w:rPr>
          <w:spacing w:val="-12"/>
        </w:rPr>
        <w:t> </w:t>
      </w:r>
      <w:r>
        <w:rPr/>
        <w:t>Muta</w:t>
      </w:r>
      <w:r>
        <w:rPr>
          <w:spacing w:val="-13"/>
        </w:rPr>
        <w:t> </w:t>
      </w:r>
      <w:r>
        <w:rPr/>
        <w:t>Mukole;</w:t>
      </w:r>
      <w:r>
        <w:rPr>
          <w:spacing w:val="-12"/>
        </w:rPr>
        <w:t> </w:t>
      </w:r>
      <w:r>
        <w:rPr/>
        <w:t>Abdulbaset</w:t>
      </w:r>
      <w:r>
        <w:rPr>
          <w:spacing w:val="-10"/>
        </w:rPr>
        <w:t> </w:t>
      </w:r>
      <w:r>
        <w:rPr/>
        <w:t>Jarour</w:t>
      </w:r>
      <w:r>
        <w:rPr>
          <w:spacing w:val="-13"/>
        </w:rPr>
        <w:t> </w:t>
      </w:r>
      <w:r>
        <w:rPr/>
        <w:t>-</w:t>
      </w:r>
      <w:r>
        <w:rPr>
          <w:spacing w:val="-10"/>
        </w:rPr>
        <w:t> </w:t>
      </w:r>
      <w:r>
        <w:rPr/>
        <w:t>ONG</w:t>
      </w:r>
      <w:r>
        <w:rPr>
          <w:spacing w:val="-12"/>
        </w:rPr>
        <w:t> </w:t>
      </w:r>
      <w:r>
        <w:rPr/>
        <w:t>identidade</w:t>
      </w:r>
      <w:r>
        <w:rPr>
          <w:spacing w:val="-12"/>
        </w:rPr>
        <w:t> </w:t>
      </w:r>
      <w:r>
        <w:rPr/>
        <w:t>humana</w:t>
      </w:r>
      <w:r>
        <w:rPr>
          <w:spacing w:val="-13"/>
        </w:rPr>
        <w:t> </w:t>
      </w:r>
      <w:r>
        <w:rPr/>
        <w:t>global; Reina</w:t>
      </w:r>
      <w:r>
        <w:rPr>
          <w:spacing w:val="-13"/>
        </w:rPr>
        <w:t> </w:t>
      </w:r>
      <w:r>
        <w:rPr/>
        <w:t>Malak</w:t>
      </w:r>
      <w:r>
        <w:rPr>
          <w:spacing w:val="-12"/>
        </w:rPr>
        <w:t> </w:t>
      </w:r>
      <w:r>
        <w:rPr/>
        <w:t>El</w:t>
      </w:r>
      <w:r>
        <w:rPr>
          <w:spacing w:val="-13"/>
        </w:rPr>
        <w:t> </w:t>
      </w:r>
      <w:r>
        <w:rPr/>
        <w:t>Hamidy</w:t>
      </w:r>
      <w:r>
        <w:rPr>
          <w:spacing w:val="-12"/>
        </w:rPr>
        <w:t> </w:t>
      </w:r>
      <w:r>
        <w:rPr/>
        <w:t>-</w:t>
      </w:r>
      <w:r>
        <w:rPr>
          <w:spacing w:val="-13"/>
        </w:rPr>
        <w:t> </w:t>
      </w:r>
      <w:r>
        <w:rPr/>
        <w:t>MENA-T</w:t>
      </w:r>
      <w:r>
        <w:rPr>
          <w:spacing w:val="-12"/>
        </w:rPr>
        <w:t> </w:t>
      </w:r>
      <w:r>
        <w:rPr/>
        <w:t>brazil</w:t>
      </w:r>
      <w:r>
        <w:rPr>
          <w:spacing w:val="-13"/>
        </w:rPr>
        <w:t> </w:t>
      </w:r>
      <w:r>
        <w:rPr/>
        <w:t>/</w:t>
      </w:r>
      <w:r>
        <w:rPr>
          <w:spacing w:val="-12"/>
        </w:rPr>
        <w:t> </w:t>
      </w:r>
      <w:r>
        <w:rPr/>
        <w:t>RTSF;</w:t>
      </w:r>
      <w:r>
        <w:rPr>
          <w:spacing w:val="-12"/>
        </w:rPr>
        <w:t> </w:t>
      </w:r>
      <w:r>
        <w:rPr/>
        <w:t>Ana</w:t>
      </w:r>
      <w:r>
        <w:rPr>
          <w:spacing w:val="-13"/>
        </w:rPr>
        <w:t> </w:t>
      </w:r>
      <w:r>
        <w:rPr/>
        <w:t>Paula</w:t>
      </w:r>
      <w:r>
        <w:rPr>
          <w:spacing w:val="-12"/>
        </w:rPr>
        <w:t> </w:t>
      </w:r>
      <w:r>
        <w:rPr/>
        <w:t>Sanchez</w:t>
      </w:r>
      <w:r>
        <w:rPr>
          <w:spacing w:val="-13"/>
        </w:rPr>
        <w:t> </w:t>
      </w:r>
      <w:r>
        <w:rPr/>
        <w:t>Soria</w:t>
      </w:r>
      <w:r>
        <w:rPr>
          <w:spacing w:val="-12"/>
        </w:rPr>
        <w:t> </w:t>
      </w:r>
      <w:r>
        <w:rPr/>
        <w:t>Galvarro</w:t>
      </w:r>
      <w:r>
        <w:rPr>
          <w:spacing w:val="-13"/>
        </w:rPr>
        <w:t> </w:t>
      </w:r>
      <w:r>
        <w:rPr/>
        <w:t>Lopes</w:t>
      </w:r>
      <w:r>
        <w:rPr>
          <w:spacing w:val="-12"/>
        </w:rPr>
        <w:t> </w:t>
      </w:r>
      <w:r>
        <w:rPr/>
        <w:t>-</w:t>
      </w:r>
      <w:r>
        <w:rPr>
          <w:spacing w:val="-12"/>
        </w:rPr>
        <w:t> </w:t>
      </w:r>
      <w:r>
        <w:rPr/>
        <w:t>Associação de Residentes Bolivianos, ADRB; Claudine Shindany; Karl Yvan Georges Kenko; Cleita Fernandes – ADUS; Roberto</w:t>
      </w:r>
      <w:r>
        <w:rPr>
          <w:spacing w:val="-1"/>
        </w:rPr>
        <w:t> </w:t>
      </w:r>
      <w:r>
        <w:rPr/>
        <w:t>Antiga</w:t>
      </w:r>
      <w:r>
        <w:rPr>
          <w:spacing w:val="-1"/>
        </w:rPr>
        <w:t> </w:t>
      </w:r>
      <w:r>
        <w:rPr/>
        <w:t>Junior</w:t>
      </w:r>
      <w:r>
        <w:rPr>
          <w:spacing w:val="-1"/>
        </w:rPr>
        <w:t> </w:t>
      </w:r>
      <w:r>
        <w:rPr/>
        <w:t>– CRAI ORIANA</w:t>
      </w:r>
      <w:r>
        <w:rPr>
          <w:spacing w:val="-3"/>
        </w:rPr>
        <w:t> </w:t>
      </w:r>
      <w:r>
        <w:rPr/>
        <w:t>JARA; Amanda</w:t>
      </w:r>
      <w:r>
        <w:rPr>
          <w:spacing w:val="-1"/>
        </w:rPr>
        <w:t> </w:t>
      </w:r>
      <w:r>
        <w:rPr/>
        <w:t>Crispim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Silva – CRAI ORIANA</w:t>
      </w:r>
      <w:r>
        <w:rPr>
          <w:spacing w:val="-3"/>
        </w:rPr>
        <w:t> </w:t>
      </w:r>
      <w:r>
        <w:rPr/>
        <w:t>JARA.</w:t>
      </w:r>
    </w:p>
    <w:p>
      <w:pPr>
        <w:pStyle w:val="BodyText"/>
        <w:ind w:left="0"/>
      </w:pPr>
    </w:p>
    <w:p>
      <w:pPr>
        <w:pStyle w:val="BodyText"/>
        <w:spacing w:before="257"/>
        <w:ind w:left="0"/>
      </w:pPr>
    </w:p>
    <w:p>
      <w:pPr>
        <w:spacing w:before="0"/>
        <w:ind w:left="46" w:right="135" w:firstLine="0"/>
        <w:jc w:val="center"/>
        <w:rPr>
          <w:b/>
          <w:sz w:val="22"/>
        </w:rPr>
      </w:pPr>
      <w:r>
        <w:rPr>
          <w:b/>
          <w:sz w:val="22"/>
        </w:rPr>
        <w:t>ATA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1"/>
          <w:sz w:val="22"/>
        </w:rPr>
        <w:t> </w:t>
      </w:r>
      <w:r>
        <w:rPr>
          <w:b/>
          <w:spacing w:val="-2"/>
          <w:sz w:val="22"/>
        </w:rPr>
        <w:t>REUNIÃO</w:t>
      </w:r>
    </w:p>
    <w:p>
      <w:pPr>
        <w:pStyle w:val="BodyText"/>
        <w:spacing w:line="276" w:lineRule="auto" w:before="236"/>
        <w:ind w:right="214" w:firstLine="710"/>
        <w:jc w:val="both"/>
      </w:pPr>
      <w:r>
        <w:rPr/>
        <w:t>A Reunião Ordinária do Conselho Municipal de Imigrantes (CMI) teve início às 14h32, sob condução</w:t>
      </w:r>
      <w:r>
        <w:rPr>
          <w:spacing w:val="-13"/>
        </w:rPr>
        <w:t> </w:t>
      </w:r>
      <w:r>
        <w:rPr/>
        <w:t>da</w:t>
      </w:r>
      <w:r>
        <w:rPr>
          <w:spacing w:val="-12"/>
        </w:rPr>
        <w:t> </w:t>
      </w:r>
      <w:r>
        <w:rPr/>
        <w:t>Secretária</w:t>
      </w:r>
      <w:r>
        <w:rPr>
          <w:spacing w:val="-13"/>
        </w:rPr>
        <w:t> </w:t>
      </w:r>
      <w:r>
        <w:rPr/>
        <w:t>Executiva,</w:t>
      </w:r>
      <w:r>
        <w:rPr>
          <w:spacing w:val="-12"/>
        </w:rPr>
        <w:t> </w:t>
      </w:r>
      <w:r>
        <w:rPr/>
        <w:t>Patrícia</w:t>
      </w:r>
      <w:r>
        <w:rPr>
          <w:spacing w:val="-13"/>
        </w:rPr>
        <w:t> </w:t>
      </w:r>
      <w:r>
        <w:rPr/>
        <w:t>Prudencio</w:t>
      </w:r>
      <w:r>
        <w:rPr>
          <w:spacing w:val="-12"/>
        </w:rPr>
        <w:t> </w:t>
      </w:r>
      <w:r>
        <w:rPr/>
        <w:t>Torrez,</w:t>
      </w:r>
      <w:r>
        <w:rPr>
          <w:spacing w:val="-13"/>
        </w:rPr>
        <w:t> </w:t>
      </w:r>
      <w:r>
        <w:rPr/>
        <w:t>que</w:t>
      </w:r>
      <w:r>
        <w:rPr>
          <w:spacing w:val="-12"/>
        </w:rPr>
        <w:t> </w:t>
      </w:r>
      <w:r>
        <w:rPr/>
        <w:t>realizou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/>
        <w:t>abertura</w:t>
      </w:r>
      <w:r>
        <w:rPr>
          <w:spacing w:val="-12"/>
        </w:rPr>
        <w:t> </w:t>
      </w:r>
      <w:r>
        <w:rPr/>
        <w:t>dos</w:t>
      </w:r>
      <w:r>
        <w:rPr>
          <w:spacing w:val="-13"/>
        </w:rPr>
        <w:t> </w:t>
      </w:r>
      <w:r>
        <w:rPr/>
        <w:t>trabalhos, apresentou a Presidente e a Vice-Presidente do Conselho e informou as pautas previstas para a reunião. Foi comunicado que seriam apresentados seis informes, três pautas para discussão e deliberação, incluindo uma proposta de elaboração de práticas de conduta para o Conselho, uma pauta sugerida pelo conselheiro Wendy Ledix e uma demanda da sociedade civil referente à comunidade angolana.</w:t>
      </w:r>
    </w:p>
    <w:p>
      <w:pPr>
        <w:pStyle w:val="BodyText"/>
        <w:spacing w:line="276" w:lineRule="auto" w:before="204"/>
        <w:ind w:right="207" w:firstLine="710"/>
        <w:jc w:val="both"/>
      </w:pPr>
      <w:r>
        <w:rPr/>
        <w:t>Na sequência, e dando início ao </w:t>
      </w:r>
      <w:r>
        <w:rPr>
          <w:b/>
        </w:rPr>
        <w:t>Informe 1, </w:t>
      </w:r>
      <w:r>
        <w:rPr/>
        <w:t>a palavra foi concedida à Presidente do CMI, Mona Perlingeiro, realizou uma breve apresentação de sua trajetória profissional e institucional até</w:t>
      </w:r>
      <w:r>
        <w:rPr>
          <w:spacing w:val="-13"/>
        </w:rPr>
        <w:t> </w:t>
      </w:r>
      <w:r>
        <w:rPr/>
        <w:t>assumir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/>
        <w:t>Coordenação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Políticas</w:t>
      </w:r>
      <w:r>
        <w:rPr>
          <w:spacing w:val="-12"/>
        </w:rPr>
        <w:t> </w:t>
      </w:r>
      <w:r>
        <w:rPr/>
        <w:t>para</w:t>
      </w:r>
      <w:r>
        <w:rPr>
          <w:spacing w:val="-13"/>
        </w:rPr>
        <w:t> </w:t>
      </w:r>
      <w:r>
        <w:rPr/>
        <w:t>Imigrantes</w:t>
      </w:r>
      <w:r>
        <w:rPr>
          <w:spacing w:val="-12"/>
        </w:rPr>
        <w:t> </w:t>
      </w:r>
      <w:r>
        <w:rPr/>
        <w:t>e</w:t>
      </w:r>
      <w:r>
        <w:rPr>
          <w:spacing w:val="-12"/>
        </w:rPr>
        <w:t> </w:t>
      </w:r>
      <w:r>
        <w:rPr/>
        <w:t>Promoção</w:t>
      </w:r>
      <w:r>
        <w:rPr>
          <w:spacing w:val="-13"/>
        </w:rPr>
        <w:t> </w:t>
      </w:r>
      <w:r>
        <w:rPr/>
        <w:t>do</w:t>
      </w:r>
      <w:r>
        <w:rPr>
          <w:spacing w:val="-12"/>
        </w:rPr>
        <w:t> </w:t>
      </w:r>
      <w:r>
        <w:rPr/>
        <w:t>Trabalho</w:t>
      </w:r>
      <w:r>
        <w:rPr>
          <w:spacing w:val="-13"/>
        </w:rPr>
        <w:t> </w:t>
      </w:r>
      <w:r>
        <w:rPr/>
        <w:t>Decente</w:t>
      </w:r>
      <w:r>
        <w:rPr>
          <w:spacing w:val="-12"/>
        </w:rPr>
        <w:t> </w:t>
      </w:r>
      <w:r>
        <w:rPr/>
        <w:t>(CPIPTD). Em sua fala, destacou a importância do diálogo permanente com os conselheiros, ressaltando a necessidade de atenção</w:t>
      </w:r>
      <w:r>
        <w:rPr>
          <w:spacing w:val="-5"/>
        </w:rPr>
        <w:t> </w:t>
      </w:r>
      <w:r>
        <w:rPr/>
        <w:t>aos princípios da impessoalidade e do</w:t>
      </w:r>
      <w:r>
        <w:rPr>
          <w:spacing w:val="-5"/>
        </w:rPr>
        <w:t> </w:t>
      </w:r>
      <w:r>
        <w:rPr/>
        <w:t>respeito institucional, mantendo o foco na promoção de direitos e no fortalecimento das políticas públicas voltadas à população </w:t>
      </w:r>
      <w:r>
        <w:rPr>
          <w:spacing w:val="-2"/>
        </w:rPr>
        <w:t>imigrante.</w:t>
      </w:r>
    </w:p>
    <w:p>
      <w:pPr>
        <w:pStyle w:val="BodyText"/>
        <w:spacing w:after="0" w:line="276" w:lineRule="auto"/>
        <w:jc w:val="both"/>
        <w:sectPr>
          <w:pgSz w:w="11910" w:h="16840"/>
          <w:pgMar w:top="1340" w:bottom="280" w:left="1133" w:right="1700"/>
        </w:sectPr>
      </w:pPr>
    </w:p>
    <w:p>
      <w:pPr>
        <w:pStyle w:val="BodyText"/>
        <w:spacing w:line="276" w:lineRule="auto" w:before="76"/>
        <w:ind w:right="214" w:firstLine="710"/>
        <w:jc w:val="both"/>
      </w:pPr>
      <w:r>
        <w:rPr/>
        <w:t>Retomando</w:t>
      </w:r>
      <w:r>
        <w:rPr>
          <w:spacing w:val="-1"/>
        </w:rPr>
        <w:t> </w:t>
      </w:r>
      <w:r>
        <w:rPr/>
        <w:t>a palavra, Patrícia apresentou o </w:t>
      </w:r>
      <w:r>
        <w:rPr>
          <w:b/>
        </w:rPr>
        <w:t>Informe 2,</w:t>
      </w:r>
      <w:r>
        <w:rPr>
          <w:b/>
          <w:spacing w:val="-4"/>
        </w:rPr>
        <w:t> </w:t>
      </w:r>
      <w:r>
        <w:rPr/>
        <w:t>com um</w:t>
      </w:r>
      <w:r>
        <w:rPr>
          <w:spacing w:val="-1"/>
        </w:rPr>
        <w:t> </w:t>
      </w:r>
      <w:r>
        <w:rPr/>
        <w:t>panorama das</w:t>
      </w:r>
      <w:r>
        <w:rPr>
          <w:spacing w:val="-1"/>
        </w:rPr>
        <w:t> </w:t>
      </w:r>
      <w:r>
        <w:rPr/>
        <w:t>atividades desenvolvidas pelo Conselho ao longo do primeiro semestre de 2026, destacando a realização do processo</w:t>
      </w:r>
      <w:r>
        <w:rPr>
          <w:spacing w:val="-4"/>
        </w:rPr>
        <w:t> </w:t>
      </w:r>
      <w:r>
        <w:rPr/>
        <w:t>eleitoral, encontros formativos, visitas</w:t>
      </w:r>
      <w:r>
        <w:rPr>
          <w:spacing w:val="-5"/>
        </w:rPr>
        <w:t> </w:t>
      </w:r>
      <w:r>
        <w:rPr/>
        <w:t>temáticas</w:t>
      </w:r>
      <w:r>
        <w:rPr>
          <w:spacing w:val="-5"/>
        </w:rPr>
        <w:t> </w:t>
      </w:r>
      <w:r>
        <w:rPr/>
        <w:t>e</w:t>
      </w:r>
      <w:r>
        <w:rPr>
          <w:spacing w:val="-3"/>
        </w:rPr>
        <w:t> </w:t>
      </w:r>
      <w:r>
        <w:rPr/>
        <w:t>ações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aproximação</w:t>
      </w:r>
      <w:r>
        <w:rPr>
          <w:spacing w:val="-5"/>
        </w:rPr>
        <w:t> </w:t>
      </w:r>
      <w:r>
        <w:rPr/>
        <w:t>com</w:t>
      </w:r>
      <w:r>
        <w:rPr>
          <w:spacing w:val="-4"/>
        </w:rPr>
        <w:t> </w:t>
      </w:r>
      <w:r>
        <w:rPr/>
        <w:t>a rede</w:t>
      </w:r>
      <w:r>
        <w:rPr>
          <w:spacing w:val="-3"/>
        </w:rPr>
        <w:t> </w:t>
      </w:r>
      <w:r>
        <w:rPr/>
        <w:t>de serviços públicos. Ressaltou ainda a realização de três Mutirões de Empregabilidade e Cidadania, com</w:t>
      </w:r>
      <w:r>
        <w:rPr>
          <w:spacing w:val="-3"/>
        </w:rPr>
        <w:t> </w:t>
      </w:r>
      <w:r>
        <w:rPr/>
        <w:t>participação</w:t>
      </w:r>
      <w:r>
        <w:rPr>
          <w:spacing w:val="-4"/>
        </w:rPr>
        <w:t> </w:t>
      </w:r>
      <w:r>
        <w:rPr/>
        <w:t>ativa</w:t>
      </w:r>
      <w:r>
        <w:rPr>
          <w:spacing w:val="-3"/>
        </w:rPr>
        <w:t> </w:t>
      </w:r>
      <w:r>
        <w:rPr/>
        <w:t>dos</w:t>
      </w:r>
      <w:r>
        <w:rPr>
          <w:spacing w:val="-4"/>
        </w:rPr>
        <w:t> </w:t>
      </w:r>
      <w:r>
        <w:rPr/>
        <w:t>conselheiros,</w:t>
      </w:r>
      <w:r>
        <w:rPr>
          <w:spacing w:val="-2"/>
        </w:rPr>
        <w:t> </w:t>
      </w:r>
      <w:r>
        <w:rPr/>
        <w:t>bem</w:t>
      </w:r>
      <w:r>
        <w:rPr>
          <w:spacing w:val="-2"/>
        </w:rPr>
        <w:t> </w:t>
      </w:r>
      <w:r>
        <w:rPr/>
        <w:t>como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realização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encontro</w:t>
      </w:r>
      <w:r>
        <w:rPr>
          <w:spacing w:val="-3"/>
        </w:rPr>
        <w:t> </w:t>
      </w:r>
      <w:r>
        <w:rPr/>
        <w:t>formativo</w:t>
      </w:r>
      <w:r>
        <w:rPr>
          <w:spacing w:val="-3"/>
        </w:rPr>
        <w:t> </w:t>
      </w:r>
      <w:r>
        <w:rPr/>
        <w:t>“Vozes</w:t>
      </w:r>
      <w:r>
        <w:rPr>
          <w:spacing w:val="-3"/>
        </w:rPr>
        <w:t> </w:t>
      </w:r>
      <w:r>
        <w:rPr/>
        <w:t>da África”, durante a Semana Nacional do Migrante e do Refugiado. Também foi mencionada a publicação de nota de solidariedade ao povo venezuelano em decorrência dos impactos provocados por recente terremoto.</w:t>
      </w:r>
    </w:p>
    <w:p>
      <w:pPr>
        <w:pStyle w:val="BodyText"/>
        <w:spacing w:line="276" w:lineRule="auto" w:before="205"/>
        <w:ind w:right="209" w:firstLine="710"/>
        <w:jc w:val="both"/>
      </w:pPr>
      <w:r>
        <w:rPr/>
        <w:t>Dando</w:t>
      </w:r>
      <w:r>
        <w:rPr>
          <w:spacing w:val="-2"/>
        </w:rPr>
        <w:t> </w:t>
      </w:r>
      <w:r>
        <w:rPr/>
        <w:t>continuidade,</w:t>
      </w:r>
      <w:r>
        <w:rPr>
          <w:spacing w:val="-1"/>
        </w:rPr>
        <w:t> </w:t>
      </w:r>
      <w:r>
        <w:rPr/>
        <w:t>a Secretaria</w:t>
      </w:r>
      <w:r>
        <w:rPr>
          <w:spacing w:val="-2"/>
        </w:rPr>
        <w:t> </w:t>
      </w:r>
      <w:r>
        <w:rPr/>
        <w:t>Executiva</w:t>
      </w:r>
      <w:r>
        <w:rPr>
          <w:spacing w:val="-2"/>
        </w:rPr>
        <w:t> </w:t>
      </w:r>
      <w:r>
        <w:rPr/>
        <w:t>comunicou os</w:t>
      </w:r>
      <w:r>
        <w:rPr>
          <w:spacing w:val="-2"/>
        </w:rPr>
        <w:t> </w:t>
      </w:r>
      <w:r>
        <w:rPr>
          <w:b/>
        </w:rPr>
        <w:t>Informe</w:t>
      </w:r>
      <w:r>
        <w:rPr>
          <w:b/>
          <w:spacing w:val="-2"/>
        </w:rPr>
        <w:t> </w:t>
      </w:r>
      <w:r>
        <w:rPr>
          <w:b/>
        </w:rPr>
        <w:t>3</w:t>
      </w:r>
      <w:r>
        <w:rPr>
          <w:b/>
          <w:spacing w:val="-1"/>
        </w:rPr>
        <w:t> </w:t>
      </w:r>
      <w:r>
        <w:rPr>
          <w:b/>
        </w:rPr>
        <w:t>e</w:t>
      </w:r>
      <w:r>
        <w:rPr>
          <w:b/>
          <w:spacing w:val="-2"/>
        </w:rPr>
        <w:t> </w:t>
      </w:r>
      <w:r>
        <w:rPr>
          <w:b/>
        </w:rPr>
        <w:t>4</w:t>
      </w:r>
      <w:r>
        <w:rPr/>
        <w:t>,</w:t>
      </w:r>
      <w:r>
        <w:rPr>
          <w:spacing w:val="-1"/>
        </w:rPr>
        <w:t> </w:t>
      </w:r>
      <w:r>
        <w:rPr/>
        <w:t>sobre o</w:t>
      </w:r>
      <w:r>
        <w:rPr>
          <w:spacing w:val="-2"/>
        </w:rPr>
        <w:t> </w:t>
      </w:r>
      <w:r>
        <w:rPr/>
        <w:t>próximo encontro formativo que será realizado na próxima reunião ordinária de agosto; no contexto do Agosto</w:t>
      </w:r>
      <w:r>
        <w:rPr>
          <w:spacing w:val="-11"/>
        </w:rPr>
        <w:t> </w:t>
      </w:r>
      <w:r>
        <w:rPr/>
        <w:t>Indígena,</w:t>
      </w:r>
      <w:r>
        <w:rPr>
          <w:spacing w:val="-6"/>
        </w:rPr>
        <w:t> </w:t>
      </w:r>
      <w:r>
        <w:rPr/>
        <w:t>em</w:t>
      </w:r>
      <w:r>
        <w:rPr>
          <w:spacing w:val="-11"/>
        </w:rPr>
        <w:t> </w:t>
      </w:r>
      <w:r>
        <w:rPr/>
        <w:t>parceria</w:t>
      </w:r>
      <w:r>
        <w:rPr>
          <w:spacing w:val="-11"/>
        </w:rPr>
        <w:t> </w:t>
      </w:r>
      <w:r>
        <w:rPr/>
        <w:t>com</w:t>
      </w:r>
      <w:r>
        <w:rPr>
          <w:spacing w:val="-6"/>
        </w:rPr>
        <w:t> </w:t>
      </w:r>
      <w:r>
        <w:rPr/>
        <w:t>a</w:t>
      </w:r>
      <w:r>
        <w:rPr>
          <w:spacing w:val="-11"/>
        </w:rPr>
        <w:t> </w:t>
      </w:r>
      <w:r>
        <w:rPr/>
        <w:t>Coordenação</w:t>
      </w:r>
      <w:r>
        <w:rPr>
          <w:spacing w:val="-7"/>
        </w:rPr>
        <w:t> </w:t>
      </w:r>
      <w:r>
        <w:rPr/>
        <w:t>de</w:t>
      </w:r>
      <w:r>
        <w:rPr>
          <w:spacing w:val="-10"/>
        </w:rPr>
        <w:t> </w:t>
      </w:r>
      <w:r>
        <w:rPr/>
        <w:t>Políticas</w:t>
      </w:r>
      <w:r>
        <w:rPr>
          <w:spacing w:val="-12"/>
        </w:rPr>
        <w:t> </w:t>
      </w:r>
      <w:r>
        <w:rPr/>
        <w:t>para</w:t>
      </w:r>
      <w:r>
        <w:rPr>
          <w:spacing w:val="-11"/>
        </w:rPr>
        <w:t> </w:t>
      </w:r>
      <w:r>
        <w:rPr/>
        <w:t>Povos</w:t>
      </w:r>
      <w:r>
        <w:rPr>
          <w:spacing w:val="-11"/>
        </w:rPr>
        <w:t> </w:t>
      </w:r>
      <w:r>
        <w:rPr/>
        <w:t>Indígenas</w:t>
      </w:r>
      <w:r>
        <w:rPr>
          <w:spacing w:val="-12"/>
        </w:rPr>
        <w:t> </w:t>
      </w:r>
      <w:r>
        <w:rPr/>
        <w:t>(COPIND),</w:t>
      </w:r>
      <w:r>
        <w:rPr>
          <w:spacing w:val="-10"/>
        </w:rPr>
        <w:t> </w:t>
      </w:r>
      <w:r>
        <w:rPr/>
        <w:t>com o objetivo de promover reflexões sobre a intersecção entre as políticas públicas voltadas às populações indígenas e migrantes. Informou-se ainda que da visita educativa no dia 27/08 que ocorrerá</w:t>
      </w:r>
      <w:r>
        <w:rPr>
          <w:spacing w:val="-9"/>
        </w:rPr>
        <w:t> </w:t>
      </w:r>
      <w:r>
        <w:rPr/>
        <w:t>no</w:t>
      </w:r>
      <w:r>
        <w:rPr>
          <w:spacing w:val="-10"/>
        </w:rPr>
        <w:t> </w:t>
      </w:r>
      <w:r>
        <w:rPr/>
        <w:t>Museu</w:t>
      </w:r>
      <w:r>
        <w:rPr>
          <w:spacing w:val="-8"/>
        </w:rPr>
        <w:t> </w:t>
      </w:r>
      <w:r>
        <w:rPr/>
        <w:t>das</w:t>
      </w:r>
      <w:r>
        <w:rPr>
          <w:spacing w:val="-9"/>
        </w:rPr>
        <w:t> </w:t>
      </w:r>
      <w:r>
        <w:rPr/>
        <w:t>Culturas</w:t>
      </w:r>
      <w:r>
        <w:rPr>
          <w:spacing w:val="-9"/>
        </w:rPr>
        <w:t> </w:t>
      </w:r>
      <w:r>
        <w:rPr/>
        <w:t>Indígenas,</w:t>
      </w:r>
      <w:r>
        <w:rPr>
          <w:spacing w:val="-8"/>
        </w:rPr>
        <w:t> </w:t>
      </w:r>
      <w:r>
        <w:rPr/>
        <w:t>abordando</w:t>
      </w:r>
      <w:r>
        <w:rPr>
          <w:spacing w:val="-9"/>
        </w:rPr>
        <w:t> </w:t>
      </w:r>
      <w:r>
        <w:rPr/>
        <w:t>aspectos</w:t>
      </w:r>
      <w:r>
        <w:rPr>
          <w:spacing w:val="-9"/>
        </w:rPr>
        <w:t> </w:t>
      </w:r>
      <w:r>
        <w:rPr/>
        <w:t>relacionados</w:t>
      </w:r>
      <w:r>
        <w:rPr>
          <w:spacing w:val="-9"/>
        </w:rPr>
        <w:t> </w:t>
      </w:r>
      <w:r>
        <w:rPr/>
        <w:t>à</w:t>
      </w:r>
      <w:r>
        <w:rPr>
          <w:spacing w:val="-9"/>
        </w:rPr>
        <w:t> </w:t>
      </w:r>
      <w:r>
        <w:rPr/>
        <w:t>cultura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à</w:t>
      </w:r>
      <w:r>
        <w:rPr>
          <w:spacing w:val="-9"/>
        </w:rPr>
        <w:t> </w:t>
      </w:r>
      <w:r>
        <w:rPr/>
        <w:t>arte</w:t>
      </w:r>
      <w:r>
        <w:rPr>
          <w:spacing w:val="-8"/>
        </w:rPr>
        <w:t> </w:t>
      </w:r>
      <w:r>
        <w:rPr/>
        <w:t>dos povos indígenas, sendo recomendada a participação dos conselheiros.</w:t>
      </w:r>
    </w:p>
    <w:p>
      <w:pPr>
        <w:pStyle w:val="BodyText"/>
        <w:spacing w:line="276" w:lineRule="auto" w:before="199"/>
        <w:ind w:right="211" w:firstLine="710"/>
        <w:jc w:val="both"/>
      </w:pPr>
      <w:r>
        <w:rPr/>
        <w:t>Na</w:t>
      </w:r>
      <w:r>
        <w:rPr>
          <w:spacing w:val="-13"/>
        </w:rPr>
        <w:t> </w:t>
      </w:r>
      <w:r>
        <w:rPr/>
        <w:t>sequência,</w:t>
      </w:r>
      <w:r>
        <w:rPr>
          <w:spacing w:val="-10"/>
        </w:rPr>
        <w:t> </w:t>
      </w:r>
      <w:r>
        <w:rPr/>
        <w:t>com</w:t>
      </w:r>
      <w:r>
        <w:rPr>
          <w:spacing w:val="-7"/>
        </w:rPr>
        <w:t> </w:t>
      </w:r>
      <w:r>
        <w:rPr/>
        <w:t>o</w:t>
      </w:r>
      <w:r>
        <w:rPr>
          <w:spacing w:val="-12"/>
        </w:rPr>
        <w:t> </w:t>
      </w:r>
      <w:r>
        <w:rPr>
          <w:b/>
        </w:rPr>
        <w:t>Informe</w:t>
      </w:r>
      <w:r>
        <w:rPr>
          <w:b/>
          <w:spacing w:val="-11"/>
        </w:rPr>
        <w:t> </w:t>
      </w:r>
      <w:r>
        <w:rPr>
          <w:b/>
        </w:rPr>
        <w:t>5</w:t>
      </w:r>
      <w:r>
        <w:rPr>
          <w:b/>
          <w:spacing w:val="-13"/>
        </w:rPr>
        <w:t> </w:t>
      </w:r>
      <w:r>
        <w:rPr/>
        <w:t>é</w:t>
      </w:r>
      <w:r>
        <w:rPr>
          <w:spacing w:val="-11"/>
        </w:rPr>
        <w:t> </w:t>
      </w:r>
      <w:r>
        <w:rPr/>
        <w:t>anunciado</w:t>
      </w:r>
      <w:r>
        <w:rPr>
          <w:spacing w:val="-12"/>
        </w:rPr>
        <w:t> </w:t>
      </w:r>
      <w:r>
        <w:rPr/>
        <w:t>que</w:t>
      </w:r>
      <w:r>
        <w:rPr>
          <w:spacing w:val="-6"/>
        </w:rPr>
        <w:t> </w:t>
      </w:r>
      <w:r>
        <w:rPr/>
        <w:t>haverá</w:t>
      </w:r>
      <w:r>
        <w:rPr>
          <w:spacing w:val="-12"/>
        </w:rPr>
        <w:t> </w:t>
      </w:r>
      <w:r>
        <w:rPr/>
        <w:t>a</w:t>
      </w:r>
      <w:r>
        <w:rPr>
          <w:spacing w:val="-3"/>
        </w:rPr>
        <w:t> </w:t>
      </w:r>
      <w:r>
        <w:rPr/>
        <w:t>confecção</w:t>
      </w:r>
      <w:r>
        <w:rPr>
          <w:spacing w:val="-13"/>
        </w:rPr>
        <w:t> </w:t>
      </w:r>
      <w:r>
        <w:rPr/>
        <w:t>de</w:t>
      </w:r>
      <w:r>
        <w:rPr>
          <w:spacing w:val="-11"/>
        </w:rPr>
        <w:t> </w:t>
      </w:r>
      <w:r>
        <w:rPr/>
        <w:t>novos</w:t>
      </w:r>
      <w:r>
        <w:rPr>
          <w:spacing w:val="-8"/>
        </w:rPr>
        <w:t> </w:t>
      </w:r>
      <w:r>
        <w:rPr/>
        <w:t>crachás</w:t>
      </w:r>
      <w:r>
        <w:rPr>
          <w:spacing w:val="-12"/>
        </w:rPr>
        <w:t> </w:t>
      </w:r>
      <w:r>
        <w:rPr/>
        <w:t>para os membros do Conselho, em razão da renovação de representantes e da adoção de nova identidade visual. Os conselheiros serão posteriormente comunicados acerca dos procedimentos para retirada dos novos crachás e devolução dos anteriores.</w:t>
      </w:r>
    </w:p>
    <w:p>
      <w:pPr>
        <w:pStyle w:val="BodyText"/>
        <w:spacing w:line="276" w:lineRule="auto" w:before="200"/>
        <w:ind w:right="207" w:firstLine="710"/>
        <w:jc w:val="both"/>
      </w:pPr>
      <w:r>
        <w:rPr/>
        <w:t>No </w:t>
      </w:r>
      <w:r>
        <w:rPr>
          <w:b/>
        </w:rPr>
        <w:t>informe 6</w:t>
      </w:r>
      <w:r>
        <w:rPr/>
        <w:t>, em relação à pauta da mobilidade, a Presidente informou que seguem as tratativas internas referentes à possibilidade de concessão de Bilhete Único aos conselheiros, esclarecendo,</w:t>
      </w:r>
      <w:r>
        <w:rPr>
          <w:spacing w:val="-8"/>
        </w:rPr>
        <w:t> </w:t>
      </w:r>
      <w:r>
        <w:rPr/>
        <w:t>contudo,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não</w:t>
      </w:r>
      <w:r>
        <w:rPr>
          <w:spacing w:val="-9"/>
        </w:rPr>
        <w:t> </w:t>
      </w:r>
      <w:r>
        <w:rPr/>
        <w:t>há</w:t>
      </w:r>
      <w:r>
        <w:rPr>
          <w:spacing w:val="-9"/>
        </w:rPr>
        <w:t> </w:t>
      </w:r>
      <w:r>
        <w:rPr/>
        <w:t>previsão</w:t>
      </w:r>
      <w:r>
        <w:rPr>
          <w:spacing w:val="-10"/>
        </w:rPr>
        <w:t> </w:t>
      </w:r>
      <w:r>
        <w:rPr/>
        <w:t>de</w:t>
      </w:r>
      <w:r>
        <w:rPr>
          <w:spacing w:val="-8"/>
        </w:rPr>
        <w:t> </w:t>
      </w:r>
      <w:r>
        <w:rPr/>
        <w:t>implementação</w:t>
      </w:r>
      <w:r>
        <w:rPr>
          <w:spacing w:val="-10"/>
        </w:rPr>
        <w:t> </w:t>
      </w:r>
      <w:r>
        <w:rPr/>
        <w:t>da</w:t>
      </w:r>
      <w:r>
        <w:rPr>
          <w:spacing w:val="-9"/>
        </w:rPr>
        <w:t> </w:t>
      </w:r>
      <w:r>
        <w:rPr/>
        <w:t>medida</w:t>
      </w:r>
      <w:r>
        <w:rPr>
          <w:spacing w:val="-9"/>
        </w:rPr>
        <w:t> </w:t>
      </w:r>
      <w:r>
        <w:rPr/>
        <w:t>no</w:t>
      </w:r>
      <w:r>
        <w:rPr>
          <w:spacing w:val="-10"/>
        </w:rPr>
        <w:t> </w:t>
      </w:r>
      <w:r>
        <w:rPr/>
        <w:t>momento.</w:t>
      </w:r>
      <w:r>
        <w:rPr>
          <w:spacing w:val="-9"/>
        </w:rPr>
        <w:t> </w:t>
      </w:r>
      <w:r>
        <w:rPr/>
        <w:t>Destacou que a demanda depende de análises administrativas e articulações intersecretariais, comprometendo-se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continuar</w:t>
      </w:r>
      <w:r>
        <w:rPr>
          <w:spacing w:val="-10"/>
        </w:rPr>
        <w:t> </w:t>
      </w:r>
      <w:r>
        <w:rPr/>
        <w:t>dialogando</w:t>
      </w:r>
      <w:r>
        <w:rPr>
          <w:spacing w:val="-10"/>
        </w:rPr>
        <w:t> </w:t>
      </w:r>
      <w:r>
        <w:rPr/>
        <w:t>sobre</w:t>
      </w:r>
      <w:r>
        <w:rPr>
          <w:spacing w:val="-8"/>
        </w:rPr>
        <w:t> </w:t>
      </w:r>
      <w:r>
        <w:rPr/>
        <w:t>o</w:t>
      </w:r>
      <w:r>
        <w:rPr>
          <w:spacing w:val="-9"/>
        </w:rPr>
        <w:t> </w:t>
      </w:r>
      <w:r>
        <w:rPr/>
        <w:t>tema,</w:t>
      </w:r>
      <w:r>
        <w:rPr>
          <w:spacing w:val="-8"/>
        </w:rPr>
        <w:t> </w:t>
      </w:r>
      <w:r>
        <w:rPr/>
        <w:t>inclusive</w:t>
      </w:r>
      <w:r>
        <w:rPr>
          <w:spacing w:val="-8"/>
        </w:rPr>
        <w:t> </w:t>
      </w:r>
      <w:r>
        <w:rPr/>
        <w:t>em</w:t>
      </w:r>
      <w:r>
        <w:rPr>
          <w:spacing w:val="-9"/>
        </w:rPr>
        <w:t> </w:t>
      </w:r>
      <w:r>
        <w:rPr/>
        <w:t>benefício</w:t>
      </w:r>
      <w:r>
        <w:rPr>
          <w:spacing w:val="-10"/>
        </w:rPr>
        <w:t> </w:t>
      </w:r>
      <w:r>
        <w:rPr/>
        <w:t>dos</w:t>
      </w:r>
      <w:r>
        <w:rPr>
          <w:spacing w:val="-9"/>
        </w:rPr>
        <w:t> </w:t>
      </w:r>
      <w:r>
        <w:rPr/>
        <w:t>participantes do Programa Portas Abertas. Reforçou ainda que a atuação dos conselheiros possui caráter voluntário, inexistindo previsão normativa para pagamento de remuneração ou benefícios </w:t>
      </w:r>
      <w:r>
        <w:rPr>
          <w:spacing w:val="-2"/>
        </w:rPr>
        <w:t>financeiros.</w:t>
      </w:r>
    </w:p>
    <w:p>
      <w:pPr>
        <w:pStyle w:val="BodyText"/>
        <w:spacing w:line="276" w:lineRule="auto" w:before="200"/>
        <w:ind w:right="203" w:firstLine="710"/>
        <w:jc w:val="both"/>
      </w:pPr>
      <w:r>
        <w:rPr/>
        <w:t>Prosseguindo com o </w:t>
      </w:r>
      <w:r>
        <w:rPr>
          <w:b/>
        </w:rPr>
        <w:t>Informe 7</w:t>
      </w:r>
      <w:r>
        <w:rPr/>
        <w:t>, foi concedida a palavra ao Secretário-Geral da Faculdade Phorte,</w:t>
      </w:r>
      <w:r>
        <w:rPr>
          <w:spacing w:val="-1"/>
        </w:rPr>
        <w:t> </w:t>
      </w:r>
      <w:r>
        <w:rPr/>
        <w:t>Túlio</w:t>
      </w:r>
      <w:r>
        <w:rPr>
          <w:spacing w:val="-3"/>
        </w:rPr>
        <w:t> </w:t>
      </w:r>
      <w:r>
        <w:rPr/>
        <w:t>Loyelo, que</w:t>
      </w:r>
      <w:r>
        <w:rPr>
          <w:spacing w:val="-1"/>
        </w:rPr>
        <w:t> </w:t>
      </w:r>
      <w:r>
        <w:rPr/>
        <w:t>apresentou</w:t>
      </w:r>
      <w:r>
        <w:rPr>
          <w:spacing w:val="-2"/>
        </w:rPr>
        <w:t> </w:t>
      </w:r>
      <w:r>
        <w:rPr/>
        <w:t>informações</w:t>
      </w:r>
      <w:r>
        <w:rPr>
          <w:spacing w:val="-2"/>
        </w:rPr>
        <w:t> </w:t>
      </w:r>
      <w:r>
        <w:rPr/>
        <w:t>sobre a</w:t>
      </w:r>
      <w:r>
        <w:rPr>
          <w:spacing w:val="-2"/>
        </w:rPr>
        <w:t> </w:t>
      </w:r>
      <w:r>
        <w:rPr/>
        <w:t>instituição</w:t>
      </w:r>
      <w:r>
        <w:rPr>
          <w:spacing w:val="-3"/>
        </w:rPr>
        <w:t> </w:t>
      </w:r>
      <w:r>
        <w:rPr/>
        <w:t>e</w:t>
      </w:r>
      <w:r>
        <w:rPr>
          <w:spacing w:val="-1"/>
        </w:rPr>
        <w:t> </w:t>
      </w:r>
      <w:r>
        <w:rPr/>
        <w:t>seus</w:t>
      </w:r>
      <w:r>
        <w:rPr>
          <w:spacing w:val="-3"/>
        </w:rPr>
        <w:t> </w:t>
      </w:r>
      <w:r>
        <w:rPr/>
        <w:t>cursos. Destacou</w:t>
      </w:r>
      <w:r>
        <w:rPr>
          <w:spacing w:val="-2"/>
        </w:rPr>
        <w:t> </w:t>
      </w:r>
      <w:r>
        <w:rPr/>
        <w:t>que a</w:t>
      </w:r>
      <w:r>
        <w:rPr>
          <w:spacing w:val="-8"/>
        </w:rPr>
        <w:t> </w:t>
      </w:r>
      <w:r>
        <w:rPr/>
        <w:t>Faculdade</w:t>
      </w:r>
      <w:r>
        <w:rPr>
          <w:spacing w:val="-7"/>
        </w:rPr>
        <w:t> </w:t>
      </w:r>
      <w:r>
        <w:rPr/>
        <w:t>Phorte</w:t>
      </w:r>
      <w:r>
        <w:rPr>
          <w:spacing w:val="-5"/>
        </w:rPr>
        <w:t> </w:t>
      </w:r>
      <w:r>
        <w:rPr/>
        <w:t>oferece</w:t>
      </w:r>
      <w:r>
        <w:rPr>
          <w:spacing w:val="-7"/>
        </w:rPr>
        <w:t> </w:t>
      </w:r>
      <w:r>
        <w:rPr/>
        <w:t>o</w:t>
      </w:r>
      <w:r>
        <w:rPr>
          <w:spacing w:val="-8"/>
        </w:rPr>
        <w:t> </w:t>
      </w:r>
      <w:r>
        <w:rPr/>
        <w:t>primeiro</w:t>
      </w:r>
      <w:r>
        <w:rPr>
          <w:spacing w:val="-8"/>
        </w:rPr>
        <w:t> </w:t>
      </w:r>
      <w:r>
        <w:rPr/>
        <w:t>curso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formação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tradutores</w:t>
      </w:r>
      <w:r>
        <w:rPr>
          <w:spacing w:val="-8"/>
        </w:rPr>
        <w:t> </w:t>
      </w:r>
      <w:r>
        <w:rPr/>
        <w:t>do</w:t>
      </w:r>
      <w:r>
        <w:rPr>
          <w:spacing w:val="-9"/>
        </w:rPr>
        <w:t> </w:t>
      </w:r>
      <w:r>
        <w:rPr/>
        <w:t>país</w:t>
      </w:r>
      <w:r>
        <w:rPr>
          <w:spacing w:val="-9"/>
        </w:rPr>
        <w:t> </w:t>
      </w:r>
      <w:r>
        <w:rPr/>
        <w:t>avaliado</w:t>
      </w:r>
      <w:r>
        <w:rPr>
          <w:spacing w:val="-8"/>
        </w:rPr>
        <w:t> </w:t>
      </w:r>
      <w:r>
        <w:rPr/>
        <w:t>com</w:t>
      </w:r>
      <w:r>
        <w:rPr>
          <w:spacing w:val="-8"/>
        </w:rPr>
        <w:t> </w:t>
      </w:r>
      <w:r>
        <w:rPr/>
        <w:t>nota máxima pelo Ministério da Educação e informou que a instituição passou a atuar como polo aplicador do Certificado de Proficiência em Língua Portuguesa para Estrangeiros (Celpe-Bras). Explicou que, anteriormente, a cidade de São Paulo contava com apenas dois locais de aplicação do exame, totalizando aproximadamente 140 vagas. Com a inclusão da Faculdade Phorte como novo polo, localizada na região da Bela Vista, passaram a ser ofertadas cerca de 300 vagas adicionais. O expositor ressaltou a importância da ampla divulgação da oportunidade junto às comunidades migrantes, informando que as inscrições ocorrerão exclusivamente pela internet, por meio do portal do INEP, entre os dias 27 de julho e 6 de agosto, enquanto a aplicação das provas está prevista para ocorrer entre os dias 20 e 26 de outubro.</w:t>
      </w:r>
    </w:p>
    <w:p>
      <w:pPr>
        <w:pStyle w:val="BodyText"/>
        <w:spacing w:line="276" w:lineRule="auto" w:before="200"/>
        <w:ind w:right="203" w:firstLine="710"/>
        <w:jc w:val="both"/>
      </w:pPr>
      <w:r>
        <w:rPr/>
        <w:t>Em</w:t>
      </w:r>
      <w:r>
        <w:rPr>
          <w:spacing w:val="-3"/>
        </w:rPr>
        <w:t> </w:t>
      </w:r>
      <w:r>
        <w:rPr/>
        <w:t>seguida,</w:t>
      </w:r>
      <w:r>
        <w:rPr>
          <w:spacing w:val="-2"/>
        </w:rPr>
        <w:t> </w:t>
      </w:r>
      <w:r>
        <w:rPr/>
        <w:t>Mona</w:t>
      </w:r>
      <w:r>
        <w:rPr>
          <w:spacing w:val="-3"/>
        </w:rPr>
        <w:t> </w:t>
      </w:r>
      <w:r>
        <w:rPr/>
        <w:t>Perlingeiro</w:t>
      </w:r>
      <w:r>
        <w:rPr>
          <w:spacing w:val="-3"/>
        </w:rPr>
        <w:t> </w:t>
      </w:r>
      <w:r>
        <w:rPr/>
        <w:t>convidou</w:t>
      </w:r>
      <w:r>
        <w:rPr>
          <w:spacing w:val="-3"/>
        </w:rPr>
        <w:t> </w:t>
      </w:r>
      <w:r>
        <w:rPr/>
        <w:t>Reina</w:t>
      </w:r>
      <w:r>
        <w:rPr>
          <w:spacing w:val="-3"/>
        </w:rPr>
        <w:t> </w:t>
      </w:r>
      <w:r>
        <w:rPr/>
        <w:t>Malak para</w:t>
      </w:r>
      <w:r>
        <w:rPr>
          <w:spacing w:val="-3"/>
        </w:rPr>
        <w:t> </w:t>
      </w:r>
      <w:r>
        <w:rPr/>
        <w:t>apresentação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>
          <w:b/>
        </w:rPr>
        <w:t>Informe</w:t>
      </w:r>
      <w:r>
        <w:rPr>
          <w:b/>
          <w:spacing w:val="-3"/>
        </w:rPr>
        <w:t> </w:t>
      </w:r>
      <w:r>
        <w:rPr>
          <w:b/>
        </w:rPr>
        <w:t>8</w:t>
      </w:r>
      <w:r>
        <w:rPr/>
        <w:t>.</w:t>
      </w:r>
      <w:r>
        <w:rPr>
          <w:spacing w:val="-3"/>
        </w:rPr>
        <w:t> </w:t>
      </w:r>
      <w:r>
        <w:rPr/>
        <w:t>Em sua manifestação, Reina destacou a importância da transparência, da participação democrática e do</w:t>
      </w:r>
      <w:r>
        <w:rPr>
          <w:spacing w:val="80"/>
          <w:w w:val="150"/>
        </w:rPr>
        <w:t> </w:t>
      </w:r>
      <w:r>
        <w:rPr/>
        <w:t>fortalecimento</w:t>
      </w:r>
      <w:r>
        <w:rPr>
          <w:spacing w:val="80"/>
          <w:w w:val="150"/>
        </w:rPr>
        <w:t> </w:t>
      </w:r>
      <w:r>
        <w:rPr/>
        <w:t>das</w:t>
      </w:r>
      <w:r>
        <w:rPr>
          <w:spacing w:val="80"/>
          <w:w w:val="150"/>
        </w:rPr>
        <w:t> </w:t>
      </w:r>
      <w:r>
        <w:rPr/>
        <w:t>políticas</w:t>
      </w:r>
      <w:r>
        <w:rPr>
          <w:spacing w:val="80"/>
          <w:w w:val="150"/>
        </w:rPr>
        <w:t> </w:t>
      </w:r>
      <w:r>
        <w:rPr/>
        <w:t>públicas</w:t>
      </w:r>
      <w:r>
        <w:rPr>
          <w:spacing w:val="80"/>
          <w:w w:val="150"/>
        </w:rPr>
        <w:t> </w:t>
      </w:r>
      <w:r>
        <w:rPr/>
        <w:t>voltadas</w:t>
      </w:r>
      <w:r>
        <w:rPr>
          <w:spacing w:val="80"/>
          <w:w w:val="150"/>
        </w:rPr>
        <w:t> </w:t>
      </w:r>
      <w:r>
        <w:rPr/>
        <w:t>às</w:t>
      </w:r>
      <w:r>
        <w:rPr>
          <w:spacing w:val="80"/>
          <w:w w:val="150"/>
        </w:rPr>
        <w:t> </w:t>
      </w:r>
      <w:r>
        <w:rPr/>
        <w:t>pessoas</w:t>
      </w:r>
      <w:r>
        <w:rPr>
          <w:spacing w:val="80"/>
          <w:w w:val="150"/>
        </w:rPr>
        <w:t> </w:t>
      </w:r>
      <w:r>
        <w:rPr/>
        <w:t>refugiadas.</w:t>
      </w:r>
      <w:r>
        <w:rPr>
          <w:spacing w:val="80"/>
          <w:w w:val="150"/>
        </w:rPr>
        <w:t> </w:t>
      </w:r>
      <w:r>
        <w:rPr/>
        <w:t>Defendeu</w:t>
      </w:r>
      <w:r>
        <w:rPr>
          <w:spacing w:val="80"/>
          <w:w w:val="150"/>
        </w:rPr>
        <w:t> </w:t>
      </w:r>
      <w:r>
        <w:rPr/>
        <w:t>o</w:t>
      </w:r>
    </w:p>
    <w:p>
      <w:pPr>
        <w:pStyle w:val="BodyText"/>
        <w:spacing w:after="0" w:line="276" w:lineRule="auto"/>
        <w:jc w:val="both"/>
        <w:sectPr>
          <w:pgSz w:w="11910" w:h="16840"/>
          <w:pgMar w:top="1340" w:bottom="280" w:left="1133" w:right="1700"/>
        </w:sectPr>
      </w:pPr>
    </w:p>
    <w:p>
      <w:pPr>
        <w:pStyle w:val="BodyText"/>
        <w:spacing w:line="276" w:lineRule="auto" w:before="76"/>
        <w:ind w:right="214"/>
        <w:jc w:val="both"/>
      </w:pPr>
      <w:r>
        <w:rPr/>
        <w:t>reconhecimento das especificidades dessa população, especialmente de grupos em situação de maior</w:t>
      </w:r>
      <w:r>
        <w:rPr>
          <w:spacing w:val="-6"/>
        </w:rPr>
        <w:t> </w:t>
      </w:r>
      <w:r>
        <w:rPr/>
        <w:t>vulnerabilidade,</w:t>
      </w:r>
      <w:r>
        <w:rPr>
          <w:spacing w:val="-4"/>
        </w:rPr>
        <w:t> </w:t>
      </w:r>
      <w:r>
        <w:rPr/>
        <w:t>como</w:t>
      </w:r>
      <w:r>
        <w:rPr>
          <w:spacing w:val="-5"/>
        </w:rPr>
        <w:t> </w:t>
      </w:r>
      <w:r>
        <w:rPr/>
        <w:t>pessoas</w:t>
      </w:r>
      <w:r>
        <w:rPr>
          <w:spacing w:val="-6"/>
        </w:rPr>
        <w:t> </w:t>
      </w:r>
      <w:r>
        <w:rPr/>
        <w:t>LGBTQIA+,</w:t>
      </w:r>
      <w:r>
        <w:rPr>
          <w:spacing w:val="-4"/>
        </w:rPr>
        <w:t> </w:t>
      </w:r>
      <w:r>
        <w:rPr/>
        <w:t>pessoas</w:t>
      </w:r>
      <w:r>
        <w:rPr>
          <w:spacing w:val="-6"/>
        </w:rPr>
        <w:t> </w:t>
      </w:r>
      <w:r>
        <w:rPr/>
        <w:t>trans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trabalhadores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sexo.</w:t>
      </w:r>
      <w:r>
        <w:rPr>
          <w:spacing w:val="-5"/>
        </w:rPr>
        <w:t> </w:t>
      </w:r>
      <w:r>
        <w:rPr/>
        <w:t>Ressaltou a necessidade de construção de políticas públicas que respondam adequadamente aos desafios relacionados à moradia, empregabilidade, acesso à informação e enfrentamento do racismo. Também enfatizou a relevância do Conselho como espaço de formulação de propostas concretas e de fortalecimento do sistema de proteção humanitária brasileiro.</w:t>
      </w:r>
    </w:p>
    <w:p>
      <w:pPr>
        <w:pStyle w:val="BodyText"/>
        <w:spacing w:line="276" w:lineRule="auto" w:before="202"/>
        <w:ind w:right="208" w:firstLine="710"/>
        <w:jc w:val="both"/>
      </w:pPr>
      <w:r>
        <w:rPr/>
        <w:t>A</w:t>
      </w:r>
      <w:r>
        <w:rPr>
          <w:spacing w:val="-12"/>
        </w:rPr>
        <w:t> </w:t>
      </w:r>
      <w:r>
        <w:rPr/>
        <w:t>Presidência</w:t>
      </w:r>
      <w:r>
        <w:rPr>
          <w:spacing w:val="-9"/>
        </w:rPr>
        <w:t> </w:t>
      </w:r>
      <w:r>
        <w:rPr/>
        <w:t>agradeceu</w:t>
      </w:r>
      <w:r>
        <w:rPr>
          <w:spacing w:val="-8"/>
        </w:rPr>
        <w:t> </w:t>
      </w:r>
      <w:r>
        <w:rPr/>
        <w:t>a</w:t>
      </w:r>
      <w:r>
        <w:rPr>
          <w:spacing w:val="-13"/>
        </w:rPr>
        <w:t> </w:t>
      </w:r>
      <w:r>
        <w:rPr/>
        <w:t>contribuição</w:t>
      </w:r>
      <w:r>
        <w:rPr>
          <w:spacing w:val="-10"/>
        </w:rPr>
        <w:t> </w:t>
      </w:r>
      <w:r>
        <w:rPr/>
        <w:t>e</w:t>
      </w:r>
      <w:r>
        <w:rPr>
          <w:spacing w:val="-8"/>
        </w:rPr>
        <w:t> </w:t>
      </w:r>
      <w:r>
        <w:rPr/>
        <w:t>relembrou</w:t>
      </w:r>
      <w:r>
        <w:rPr>
          <w:spacing w:val="-9"/>
        </w:rPr>
        <w:t> </w:t>
      </w:r>
      <w:r>
        <w:rPr/>
        <w:t>os</w:t>
      </w:r>
      <w:r>
        <w:rPr>
          <w:spacing w:val="-9"/>
        </w:rPr>
        <w:t> </w:t>
      </w:r>
      <w:r>
        <w:rPr/>
        <w:t>dez</w:t>
      </w:r>
      <w:r>
        <w:rPr>
          <w:spacing w:val="-10"/>
        </w:rPr>
        <w:t> </w:t>
      </w:r>
      <w:r>
        <w:rPr/>
        <w:t>anos</w:t>
      </w:r>
      <w:r>
        <w:rPr>
          <w:spacing w:val="-9"/>
        </w:rPr>
        <w:t> </w:t>
      </w:r>
      <w:r>
        <w:rPr/>
        <w:t>da</w:t>
      </w:r>
      <w:r>
        <w:rPr>
          <w:spacing w:val="-9"/>
        </w:rPr>
        <w:t> </w:t>
      </w:r>
      <w:r>
        <w:rPr/>
        <w:t>Política</w:t>
      </w:r>
      <w:r>
        <w:rPr>
          <w:spacing w:val="-13"/>
        </w:rPr>
        <w:t> </w:t>
      </w:r>
      <w:r>
        <w:rPr/>
        <w:t>Municipal</w:t>
      </w:r>
      <w:r>
        <w:rPr>
          <w:spacing w:val="-9"/>
        </w:rPr>
        <w:t> </w:t>
      </w:r>
      <w:r>
        <w:rPr/>
        <w:t>para a</w:t>
      </w:r>
      <w:r>
        <w:rPr>
          <w:spacing w:val="-8"/>
        </w:rPr>
        <w:t> </w:t>
      </w:r>
      <w:r>
        <w:rPr/>
        <w:t>População</w:t>
      </w:r>
      <w:r>
        <w:rPr>
          <w:spacing w:val="-8"/>
        </w:rPr>
        <w:t> </w:t>
      </w:r>
      <w:r>
        <w:rPr/>
        <w:t>Imigrante,</w:t>
      </w:r>
      <w:r>
        <w:rPr>
          <w:spacing w:val="-7"/>
        </w:rPr>
        <w:t> </w:t>
      </w:r>
      <w:r>
        <w:rPr/>
        <w:t>ressaltando</w:t>
      </w:r>
      <w:r>
        <w:rPr>
          <w:spacing w:val="-4"/>
        </w:rPr>
        <w:t> </w:t>
      </w:r>
      <w:r>
        <w:rPr/>
        <w:t>sua</w:t>
      </w:r>
      <w:r>
        <w:rPr>
          <w:spacing w:val="-8"/>
        </w:rPr>
        <w:t> </w:t>
      </w:r>
      <w:r>
        <w:rPr/>
        <w:t>relevância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consolidação</w:t>
      </w:r>
      <w:r>
        <w:rPr>
          <w:spacing w:val="-8"/>
        </w:rPr>
        <w:t> </w:t>
      </w:r>
      <w:r>
        <w:rPr/>
        <w:t>de</w:t>
      </w:r>
      <w:r>
        <w:rPr>
          <w:spacing w:val="-2"/>
        </w:rPr>
        <w:t> </w:t>
      </w:r>
      <w:r>
        <w:rPr/>
        <w:t>direitos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para</w:t>
      </w:r>
      <w:r>
        <w:rPr>
          <w:spacing w:val="-8"/>
        </w:rPr>
        <w:t> </w:t>
      </w:r>
      <w:r>
        <w:rPr/>
        <w:t>a</w:t>
      </w:r>
      <w:r>
        <w:rPr>
          <w:spacing w:val="-3"/>
        </w:rPr>
        <w:t> </w:t>
      </w:r>
      <w:r>
        <w:rPr/>
        <w:t>própria criação do Conselho Municipal de Imigrantes. Patrícia complementou a fala reforçando que os conselheiros possuem ampla legitimidade para apresentar pautas e informes nas reuniões ordinárias, estimulando a participação ativa de todos os membros.</w:t>
      </w:r>
    </w:p>
    <w:p>
      <w:pPr>
        <w:pStyle w:val="BodyText"/>
        <w:spacing w:line="276" w:lineRule="auto" w:before="202"/>
        <w:ind w:right="216" w:firstLine="710"/>
        <w:jc w:val="both"/>
      </w:pPr>
      <w:r>
        <w:rPr/>
        <w:t>Na sequência, Mona Lícia apresentou o assessor Leonardo Alves Lopes, que passará a acompanhar as atividades do Conselho, bem como os estagiários da Coordenação, reiterando a importância do registro de presença por todos os participantes.</w:t>
      </w:r>
    </w:p>
    <w:p>
      <w:pPr>
        <w:pStyle w:val="BodyText"/>
        <w:spacing w:line="276" w:lineRule="auto" w:before="198"/>
        <w:ind w:right="209" w:firstLine="710"/>
        <w:jc w:val="both"/>
        <w:rPr>
          <w:b/>
        </w:rPr>
      </w:pPr>
      <w:r>
        <w:rPr/>
        <w:t>Passando à ordem do dia, Patrícia introduziu a </w:t>
      </w:r>
      <w:r>
        <w:rPr>
          <w:b/>
        </w:rPr>
        <w:t>Pauta 1</w:t>
      </w:r>
      <w:r>
        <w:rPr/>
        <w:t>, referente ao processo administrativo para apuração de conduta incompatível com o funcionamento do Conselho. É explicado que foi elaborado um Relatório Administrativo sobre os conflitos ocorridos no grupo oficial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comunicação</w:t>
      </w:r>
      <w:r>
        <w:rPr>
          <w:spacing w:val="-13"/>
        </w:rPr>
        <w:t> </w:t>
      </w:r>
      <w:r>
        <w:rPr/>
        <w:t>do</w:t>
      </w:r>
      <w:r>
        <w:rPr>
          <w:spacing w:val="-12"/>
        </w:rPr>
        <w:t> </w:t>
      </w:r>
      <w:r>
        <w:rPr/>
        <w:t>CMI,</w:t>
      </w:r>
      <w:r>
        <w:rPr>
          <w:spacing w:val="-12"/>
        </w:rPr>
        <w:t> </w:t>
      </w:r>
      <w:r>
        <w:rPr/>
        <w:t>e</w:t>
      </w:r>
      <w:r>
        <w:rPr>
          <w:spacing w:val="-11"/>
        </w:rPr>
        <w:t> </w:t>
      </w:r>
      <w:r>
        <w:rPr/>
        <w:t>com</w:t>
      </w:r>
      <w:r>
        <w:rPr>
          <w:spacing w:val="-12"/>
        </w:rPr>
        <w:t> </w:t>
      </w:r>
      <w:r>
        <w:rPr/>
        <w:t>isso,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/>
        <w:t>presidência</w:t>
      </w:r>
      <w:r>
        <w:rPr>
          <w:spacing w:val="-12"/>
        </w:rPr>
        <w:t> </w:t>
      </w:r>
      <w:r>
        <w:rPr/>
        <w:t>inicia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/>
        <w:t>leitura</w:t>
      </w:r>
      <w:r>
        <w:rPr>
          <w:spacing w:val="-12"/>
        </w:rPr>
        <w:t> </w:t>
      </w:r>
      <w:r>
        <w:rPr/>
        <w:t>para</w:t>
      </w:r>
      <w:r>
        <w:rPr>
          <w:spacing w:val="-13"/>
        </w:rPr>
        <w:t> </w:t>
      </w:r>
      <w:r>
        <w:rPr/>
        <w:t>os</w:t>
      </w:r>
      <w:r>
        <w:rPr>
          <w:spacing w:val="-12"/>
        </w:rPr>
        <w:t> </w:t>
      </w:r>
      <w:r>
        <w:rPr/>
        <w:t>membros</w:t>
      </w:r>
      <w:r>
        <w:rPr>
          <w:spacing w:val="-13"/>
        </w:rPr>
        <w:t> </w:t>
      </w:r>
      <w:r>
        <w:rPr/>
        <w:t>presentes do </w:t>
      </w:r>
      <w:r>
        <w:rPr>
          <w:b/>
        </w:rPr>
        <w:t>“Relatório do Processo Administrativo”:</w:t>
      </w:r>
    </w:p>
    <w:p>
      <w:pPr>
        <w:pStyle w:val="Heading2"/>
        <w:numPr>
          <w:ilvl w:val="0"/>
          <w:numId w:val="3"/>
        </w:numPr>
        <w:tabs>
          <w:tab w:pos="296" w:val="left" w:leader="none"/>
        </w:tabs>
        <w:spacing w:line="240" w:lineRule="auto" w:before="242" w:after="0"/>
        <w:ind w:left="296" w:right="0" w:hanging="169"/>
        <w:jc w:val="left"/>
      </w:pPr>
      <w:r>
        <w:rPr/>
        <w:t>Dos</w:t>
      </w:r>
      <w:r>
        <w:rPr>
          <w:spacing w:val="-4"/>
        </w:rPr>
        <w:t> Fatos</w:t>
      </w:r>
    </w:p>
    <w:p>
      <w:pPr>
        <w:spacing w:line="240" w:lineRule="auto" w:before="236"/>
        <w:ind w:left="127" w:right="204" w:firstLine="0"/>
        <w:jc w:val="both"/>
        <w:rPr>
          <w:i/>
          <w:sz w:val="22"/>
        </w:rPr>
      </w:pPr>
      <w:r>
        <w:rPr>
          <w:i/>
          <w:sz w:val="22"/>
        </w:rPr>
        <w:t>Aos 17 de junho de 2026, tiveram início discussões no grupo de WhatsApp denominado "Conselheiros – CMI Gestão 2025-2027", espaço oficial de comunicação entre os membros do Conselho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Municipal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de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Imigrantes.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As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discussões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foram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iniciadas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pela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conselheira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Mariamma Bah, representante da União Africana, que encaminhou diversos áudios ao longo da madrugada contendo acusações dirigidas à conselheira Prudence Kalambay, representante da organização A Voz do Congo.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Na sequência,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 controvérsia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passou a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envolver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também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 conselheira Sonia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Flores Mamani e o membro ouvinte Abdulbaset Jarour, representante da organização Identidade Humana.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Em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síntese,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os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áudios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enviados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pela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conselheira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Mariamma Bah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continham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alegações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de exclusão de determinados conselheiros da atividade denominada "Vozes da Diáspora Africana", fato que desencadeou intensa discussão entre os participantes do grupo.</w:t>
      </w:r>
    </w:p>
    <w:p>
      <w:pPr>
        <w:spacing w:line="240" w:lineRule="auto" w:before="246"/>
        <w:ind w:left="127" w:right="208" w:firstLine="0"/>
        <w:jc w:val="both"/>
        <w:rPr>
          <w:i/>
          <w:sz w:val="22"/>
        </w:rPr>
      </w:pPr>
      <w:r>
        <w:rPr>
          <w:i/>
          <w:sz w:val="22"/>
        </w:rPr>
        <w:t>No decorrer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das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manifestações,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o debate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extrapolou os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limites do respeito institucional,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passando a envolver ofensas pessoais, utilização de palavras de baixo calão, acusações de condutas criminosas e manifestações consideradas incompatíveis com o ambiente de diálogo e respeito esperado entre membros deste Conselho.</w:t>
      </w:r>
    </w:p>
    <w:p>
      <w:pPr>
        <w:spacing w:before="236"/>
        <w:ind w:left="127" w:right="219" w:firstLine="0"/>
        <w:jc w:val="both"/>
        <w:rPr>
          <w:i/>
          <w:sz w:val="22"/>
        </w:rPr>
      </w:pPr>
      <w:r>
        <w:rPr>
          <w:i/>
          <w:sz w:val="22"/>
        </w:rPr>
        <w:t>Como consequência do conflito, alguns conselheiros deixaram o grupo de comunicação, gerando significativo prejuízo ao ambiente institucional e ao regular funcionamento da comunicação interna do colegiado.</w:t>
      </w:r>
    </w:p>
    <w:p>
      <w:pPr>
        <w:spacing w:before="239"/>
        <w:ind w:left="127" w:right="216" w:firstLine="0"/>
        <w:jc w:val="both"/>
        <w:rPr>
          <w:i/>
          <w:sz w:val="22"/>
        </w:rPr>
      </w:pPr>
      <w:r>
        <w:rPr>
          <w:i/>
          <w:sz w:val="22"/>
        </w:rPr>
        <w:t>Diante dos fatos, os conselheiros Prudence Kalambay, Sonia Flores Mamani e Abdulbaset Jarour solicitaram formalmente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providências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à Coordenação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de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Políticas para Imigrantes 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à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Presidência do Conselho Municipal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de Imigrantes, alegando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terem sido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diretamente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ofendidos e lesados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pelas manifestações realizadas pela conselheira Mariamma Bah.</w:t>
      </w:r>
    </w:p>
    <w:p>
      <w:pPr>
        <w:spacing w:after="0"/>
        <w:jc w:val="both"/>
        <w:rPr>
          <w:i/>
          <w:sz w:val="22"/>
        </w:rPr>
        <w:sectPr>
          <w:pgSz w:w="11910" w:h="16840"/>
          <w:pgMar w:top="1340" w:bottom="280" w:left="1133" w:right="1700"/>
        </w:sectPr>
      </w:pPr>
    </w:p>
    <w:p>
      <w:pPr>
        <w:spacing w:line="240" w:lineRule="auto" w:before="76"/>
        <w:ind w:left="127" w:right="206" w:firstLine="0"/>
        <w:jc w:val="both"/>
        <w:rPr>
          <w:i/>
          <w:sz w:val="22"/>
        </w:rPr>
      </w:pPr>
      <w:r>
        <w:rPr>
          <w:i/>
          <w:sz w:val="22"/>
        </w:rPr>
        <w:t>Em razão das representações apresentadas, a Presidência do Conselho Municipal de Imigrantes, em conjunto com o Departamento de Participação Social da Secretaria Municipal de Direitos Humanos e Cidadania – SMDHC, deliberou pela instauração do presente Processo Administrativo, com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finalidade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de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apurar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os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fatos,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assegurar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o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contraditório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e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ampla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defesa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e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avaliar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adoção das medidas administrativas eventualmente cabíveis.</w:t>
      </w:r>
    </w:p>
    <w:p>
      <w:pPr>
        <w:spacing w:line="240" w:lineRule="auto" w:before="242"/>
        <w:ind w:left="127" w:right="211" w:firstLine="0"/>
        <w:jc w:val="both"/>
        <w:rPr>
          <w:i/>
          <w:sz w:val="22"/>
        </w:rPr>
      </w:pPr>
      <w:r>
        <w:rPr>
          <w:i/>
          <w:sz w:val="22"/>
        </w:rPr>
        <w:t>O membro ouvinte Abdulbaset Jarour também afirmou ter sido injustamente acusado durante as discussões. Ressaltou que o fechamento temporário do grupo de comunicação inviabilizou seu direito de resposta e apresentou esclarecimentos acerca da origem e do desenvolvimento do projeto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Copa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dos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Refugiados,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destacando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seu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histórico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de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atuação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na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iniciativa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 inexistência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de exclusividade sobre referido projeto.</w:t>
      </w:r>
    </w:p>
    <w:p>
      <w:pPr>
        <w:spacing w:before="238"/>
        <w:ind w:left="127" w:right="215" w:firstLine="0"/>
        <w:jc w:val="both"/>
        <w:rPr>
          <w:i/>
          <w:sz w:val="22"/>
        </w:rPr>
      </w:pPr>
      <w:r>
        <w:rPr>
          <w:i/>
          <w:sz w:val="22"/>
        </w:rPr>
        <w:t>Ao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término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reunião,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Presidência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reiterou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que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apuração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seria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conduzida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de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forma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imparcial, destacando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que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eventuais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providências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de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natureza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civil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ou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criminal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competem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exclusivamente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às partes interessadas.</w:t>
      </w:r>
    </w:p>
    <w:p>
      <w:pPr>
        <w:spacing w:line="240" w:lineRule="auto" w:before="239"/>
        <w:ind w:left="127" w:right="204" w:firstLine="0"/>
        <w:jc w:val="both"/>
        <w:rPr>
          <w:i/>
          <w:sz w:val="22"/>
        </w:rPr>
      </w:pPr>
      <w:r>
        <w:rPr>
          <w:i/>
          <w:sz w:val="22"/>
        </w:rPr>
        <w:t>Posteriormente, na data de 15/072026, realizou-se reunião com a conselheira Mariamma Bah, oportunidade em que lhe foi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assegurado o pleno exercício do contraditório e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da ampla defesa. Na ocasião, apresentou sua versão dos fatos, prestou os esclarecimentos que entendeu pertinentes e manifestou sua defesa em relação às acusações formuladas.</w:t>
      </w:r>
    </w:p>
    <w:p>
      <w:pPr>
        <w:spacing w:line="240" w:lineRule="auto" w:before="242"/>
        <w:ind w:left="127" w:right="204" w:firstLine="0"/>
        <w:jc w:val="both"/>
        <w:rPr>
          <w:i/>
          <w:sz w:val="22"/>
        </w:rPr>
      </w:pPr>
      <w:r>
        <w:rPr>
          <w:i/>
          <w:sz w:val="22"/>
        </w:rPr>
        <w:t>Mariama Bah relatou conflitos com Abdul Jarour, Prudence Kalambay Libonza e Sonia Flores Mamani, afirmando ter sido desrespeitada em discussões relacionadas à Copa dos Migrantes e Refugiados e ao grupo institucional do Conselho. Também manifestou preocupação com a valorização das pautas africanas, do combate ao racismo e da representatividade no Conselho. A coordenação acolheu seus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relatos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e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ressaltou a necessidade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de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separar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conflitos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interpessoais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das atividades institucionais.</w:t>
      </w:r>
    </w:p>
    <w:p>
      <w:pPr>
        <w:pStyle w:val="Heading2"/>
        <w:numPr>
          <w:ilvl w:val="0"/>
          <w:numId w:val="3"/>
        </w:numPr>
        <w:tabs>
          <w:tab w:pos="296" w:val="left" w:leader="none"/>
        </w:tabs>
        <w:spacing w:line="240" w:lineRule="auto" w:before="239" w:after="0"/>
        <w:ind w:left="296" w:right="0" w:hanging="169"/>
        <w:jc w:val="left"/>
      </w:pPr>
      <w:r>
        <w:rPr/>
        <w:t>Da</w:t>
      </w:r>
      <w:r>
        <w:rPr>
          <w:spacing w:val="-4"/>
        </w:rPr>
        <w:t> </w:t>
      </w:r>
      <w:r>
        <w:rPr/>
        <w:t>Instrução</w:t>
      </w:r>
      <w:r>
        <w:rPr>
          <w:spacing w:val="-3"/>
        </w:rPr>
        <w:t> </w:t>
      </w:r>
      <w:r>
        <w:rPr>
          <w:spacing w:val="-2"/>
        </w:rPr>
        <w:t>Processual</w:t>
      </w:r>
    </w:p>
    <w:p>
      <w:pPr>
        <w:spacing w:before="242"/>
        <w:ind w:left="127" w:right="218" w:firstLine="0"/>
        <w:jc w:val="both"/>
        <w:rPr>
          <w:i/>
          <w:sz w:val="22"/>
        </w:rPr>
      </w:pPr>
      <w:r>
        <w:rPr>
          <w:i/>
          <w:sz w:val="22"/>
        </w:rPr>
        <w:t>Com o objetivo de garantir a adequada apuração dos fatos e assegurar a oitiva de todos os envolvidos, esta Presidência promoveu reuniões individuais com as partes.</w:t>
      </w:r>
    </w:p>
    <w:p>
      <w:pPr>
        <w:spacing w:line="237" w:lineRule="auto" w:before="245"/>
        <w:ind w:left="127" w:right="213" w:firstLine="0"/>
        <w:jc w:val="both"/>
        <w:rPr>
          <w:i/>
          <w:sz w:val="22"/>
        </w:rPr>
      </w:pPr>
      <w:r>
        <w:rPr>
          <w:i/>
          <w:sz w:val="22"/>
        </w:rPr>
        <w:t>Em 30 de junho de 2026, realizou-se reunião presencial no mini auditório da sede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da SMDHC com os conselheiros Prudence Kalambay, Sonia Flores Mamani e Abdulbaset Jarour.</w:t>
      </w:r>
    </w:p>
    <w:p>
      <w:pPr>
        <w:spacing w:before="241"/>
        <w:ind w:left="127" w:right="215" w:firstLine="0"/>
        <w:jc w:val="both"/>
        <w:rPr>
          <w:i/>
          <w:sz w:val="22"/>
        </w:rPr>
      </w:pPr>
      <w:r>
        <w:rPr>
          <w:i/>
          <w:sz w:val="22"/>
        </w:rPr>
        <w:t>Na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oportunidade,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os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participantes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relataram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os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impactos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institucionais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e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pessoais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decorrentes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das manifestações realizadas pela conselheira Mariamma Bah.</w:t>
      </w:r>
    </w:p>
    <w:p>
      <w:pPr>
        <w:spacing w:before="239"/>
        <w:ind w:left="127" w:right="215" w:firstLine="0"/>
        <w:jc w:val="both"/>
        <w:rPr>
          <w:i/>
          <w:sz w:val="22"/>
        </w:rPr>
      </w:pPr>
      <w:r>
        <w:rPr>
          <w:i/>
          <w:sz w:val="22"/>
        </w:rPr>
        <w:t>A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conselheira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Sonia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Flores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Mamani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informou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que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sua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participação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nas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discussões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teve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como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único propósito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buscar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pacificação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conflito,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defendendo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ainda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criação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de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um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Comitê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de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Ética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para prevenção e mediação de situações semelhantes no âmbito do Conselho.</w:t>
      </w:r>
    </w:p>
    <w:p>
      <w:pPr>
        <w:spacing w:line="240" w:lineRule="auto" w:before="244"/>
        <w:ind w:left="127" w:right="216" w:firstLine="0"/>
        <w:jc w:val="both"/>
        <w:rPr>
          <w:i/>
          <w:sz w:val="22"/>
        </w:rPr>
      </w:pPr>
      <w:r>
        <w:rPr>
          <w:i/>
          <w:sz w:val="22"/>
        </w:rPr>
        <w:t>Por sua vez, a conselheira Prudence Kalambay declarou ter sido alvo de acusações pessoais e difamatórias, afirmando que pretende adotar as medidas judiciais cabíveis para a tutela de seus </w:t>
      </w:r>
      <w:r>
        <w:rPr>
          <w:i/>
          <w:spacing w:val="-2"/>
          <w:sz w:val="22"/>
        </w:rPr>
        <w:t>direitos.</w:t>
      </w:r>
    </w:p>
    <w:p>
      <w:pPr>
        <w:spacing w:line="240" w:lineRule="auto" w:before="240"/>
        <w:ind w:left="127" w:right="213" w:firstLine="0"/>
        <w:jc w:val="both"/>
        <w:rPr>
          <w:i/>
          <w:sz w:val="22"/>
        </w:rPr>
      </w:pPr>
      <w:r>
        <w:rPr>
          <w:i/>
          <w:sz w:val="22"/>
        </w:rPr>
        <w:t>Patricia esclareceu a organização do encontro "Vozes da África", explicou que o evento foi planejado coletivamente e lamentou o cancelamento da participação de Mariama na véspera da atividade. Em seguida, informou que a Secretaria recebeu representações formais sobre as mensagens trocadas no grupo institucional e que será elaborado parecer para subsidiar eventual processo administrativo disciplinar.</w:t>
      </w:r>
    </w:p>
    <w:p>
      <w:pPr>
        <w:spacing w:after="0" w:line="240" w:lineRule="auto"/>
        <w:jc w:val="both"/>
        <w:rPr>
          <w:i/>
          <w:sz w:val="22"/>
        </w:rPr>
        <w:sectPr>
          <w:pgSz w:w="11910" w:h="16840"/>
          <w:pgMar w:top="1340" w:bottom="280" w:left="1133" w:right="1700"/>
        </w:sectPr>
      </w:pPr>
    </w:p>
    <w:p>
      <w:pPr>
        <w:spacing w:line="240" w:lineRule="auto" w:before="76"/>
        <w:ind w:left="127" w:right="206" w:firstLine="0"/>
        <w:jc w:val="both"/>
        <w:rPr>
          <w:i/>
          <w:sz w:val="22"/>
        </w:rPr>
      </w:pPr>
      <w:r>
        <w:rPr>
          <w:i/>
          <w:sz w:val="22"/>
        </w:rPr>
        <w:t>Mariama afirmou que não concorda com eventual responsabilização individual, reiterou que se considera a parte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ofendida, sugeriu a oferta de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apoio psicológico aos conselheiros e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informou que poderá recorrer à Justiça, se necessário. A coordenação comprometeu-se a atuar com imparcialidade na condução do caso, promover o diálogo e buscar soluções institucionais para o </w:t>
      </w:r>
      <w:r>
        <w:rPr>
          <w:i/>
          <w:spacing w:val="-2"/>
          <w:sz w:val="22"/>
        </w:rPr>
        <w:t>conflito.</w:t>
      </w:r>
    </w:p>
    <w:p>
      <w:pPr>
        <w:pStyle w:val="BodyText"/>
        <w:ind w:left="0"/>
        <w:rPr>
          <w:i/>
        </w:rPr>
      </w:pPr>
    </w:p>
    <w:p>
      <w:pPr>
        <w:pStyle w:val="BodyText"/>
        <w:spacing w:before="210"/>
        <w:ind w:left="0"/>
        <w:rPr>
          <w:i/>
        </w:rPr>
      </w:pPr>
    </w:p>
    <w:p>
      <w:pPr>
        <w:pStyle w:val="Heading2"/>
        <w:numPr>
          <w:ilvl w:val="0"/>
          <w:numId w:val="3"/>
        </w:numPr>
        <w:tabs>
          <w:tab w:pos="296" w:val="left" w:leader="none"/>
        </w:tabs>
        <w:spacing w:line="240" w:lineRule="auto" w:before="0" w:after="0"/>
        <w:ind w:left="296" w:right="0" w:hanging="169"/>
        <w:jc w:val="left"/>
      </w:pPr>
      <w:r>
        <w:rPr/>
        <w:t>Das</w:t>
      </w:r>
      <w:r>
        <w:rPr>
          <w:spacing w:val="-5"/>
        </w:rPr>
        <w:t> </w:t>
      </w:r>
      <w:r>
        <w:rPr>
          <w:spacing w:val="-2"/>
        </w:rPr>
        <w:t>provas</w:t>
      </w:r>
    </w:p>
    <w:p>
      <w:pPr>
        <w:spacing w:line="242" w:lineRule="auto" w:before="242"/>
        <w:ind w:left="127" w:right="210" w:firstLine="0"/>
        <w:jc w:val="both"/>
        <w:rPr>
          <w:i/>
          <w:sz w:val="22"/>
        </w:rPr>
      </w:pPr>
      <w:r>
        <w:rPr>
          <w:i/>
          <w:sz w:val="22"/>
        </w:rPr>
        <w:t>O presente Processo Administrativo encontra-se devidamente instruído com os documentos e elementos probatórios constantes dos autos e de seus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anexos, os quais subsidiaram a análise dos fatos e a formação da convicção desta Presidência. Integram o conjunto probatório do processo:</w:t>
      </w:r>
    </w:p>
    <w:p>
      <w:pPr>
        <w:pStyle w:val="ListParagraph"/>
        <w:numPr>
          <w:ilvl w:val="0"/>
          <w:numId w:val="4"/>
        </w:numPr>
        <w:tabs>
          <w:tab w:pos="221" w:val="left" w:leader="none"/>
        </w:tabs>
        <w:spacing w:line="240" w:lineRule="auto" w:before="232" w:after="0"/>
        <w:ind w:left="221" w:right="0" w:hanging="94"/>
        <w:jc w:val="both"/>
        <w:rPr>
          <w:i/>
          <w:sz w:val="22"/>
        </w:rPr>
      </w:pPr>
      <w:r>
        <w:rPr>
          <w:i/>
          <w:spacing w:val="-2"/>
          <w:sz w:val="22"/>
        </w:rPr>
        <w:t>–</w:t>
      </w:r>
      <w:r>
        <w:rPr>
          <w:i/>
          <w:spacing w:val="-3"/>
          <w:sz w:val="22"/>
        </w:rPr>
        <w:t> </w:t>
      </w:r>
      <w:r>
        <w:rPr>
          <w:i/>
          <w:spacing w:val="-2"/>
          <w:sz w:val="22"/>
        </w:rPr>
        <w:t>Cópia</w:t>
      </w:r>
      <w:r>
        <w:rPr>
          <w:i/>
          <w:sz w:val="22"/>
        </w:rPr>
        <w:t> </w:t>
      </w:r>
      <w:r>
        <w:rPr>
          <w:i/>
          <w:spacing w:val="-2"/>
          <w:sz w:val="22"/>
        </w:rPr>
        <w:t>integral</w:t>
      </w:r>
      <w:r>
        <w:rPr>
          <w:i/>
          <w:spacing w:val="-3"/>
          <w:sz w:val="22"/>
        </w:rPr>
        <w:t> </w:t>
      </w:r>
      <w:r>
        <w:rPr>
          <w:i/>
          <w:spacing w:val="-2"/>
          <w:sz w:val="22"/>
        </w:rPr>
        <w:t>das</w:t>
      </w:r>
      <w:r>
        <w:rPr>
          <w:i/>
          <w:spacing w:val="-4"/>
          <w:sz w:val="22"/>
        </w:rPr>
        <w:t> </w:t>
      </w:r>
      <w:r>
        <w:rPr>
          <w:i/>
          <w:spacing w:val="-2"/>
          <w:sz w:val="22"/>
        </w:rPr>
        <w:t>mensagens</w:t>
      </w:r>
      <w:r>
        <w:rPr>
          <w:i/>
          <w:spacing w:val="-3"/>
          <w:sz w:val="22"/>
        </w:rPr>
        <w:t> </w:t>
      </w:r>
      <w:r>
        <w:rPr>
          <w:i/>
          <w:spacing w:val="-2"/>
          <w:sz w:val="22"/>
        </w:rPr>
        <w:t>trocadas</w:t>
      </w:r>
      <w:r>
        <w:rPr>
          <w:i/>
          <w:spacing w:val="-10"/>
          <w:sz w:val="22"/>
        </w:rPr>
        <w:t> </w:t>
      </w:r>
      <w:r>
        <w:rPr>
          <w:i/>
          <w:spacing w:val="-2"/>
          <w:sz w:val="22"/>
        </w:rPr>
        <w:t>no</w:t>
      </w:r>
      <w:r>
        <w:rPr>
          <w:i/>
          <w:spacing w:val="-6"/>
          <w:sz w:val="22"/>
        </w:rPr>
        <w:t> </w:t>
      </w:r>
      <w:r>
        <w:rPr>
          <w:i/>
          <w:spacing w:val="-2"/>
          <w:sz w:val="22"/>
        </w:rPr>
        <w:t>grupo</w:t>
      </w:r>
      <w:r>
        <w:rPr>
          <w:i/>
          <w:spacing w:val="-6"/>
          <w:sz w:val="22"/>
        </w:rPr>
        <w:t> </w:t>
      </w:r>
      <w:r>
        <w:rPr>
          <w:i/>
          <w:spacing w:val="-2"/>
          <w:sz w:val="22"/>
        </w:rPr>
        <w:t>oficial</w:t>
      </w:r>
      <w:r>
        <w:rPr>
          <w:i/>
          <w:spacing w:val="-9"/>
          <w:sz w:val="22"/>
        </w:rPr>
        <w:t> </w:t>
      </w:r>
      <w:r>
        <w:rPr>
          <w:i/>
          <w:spacing w:val="-2"/>
          <w:sz w:val="22"/>
        </w:rPr>
        <w:t>de</w:t>
      </w:r>
      <w:r>
        <w:rPr>
          <w:i/>
          <w:spacing w:val="-3"/>
          <w:sz w:val="22"/>
        </w:rPr>
        <w:t> </w:t>
      </w:r>
      <w:r>
        <w:rPr>
          <w:i/>
          <w:spacing w:val="-2"/>
          <w:sz w:val="22"/>
        </w:rPr>
        <w:t>WhatsApp</w:t>
      </w:r>
      <w:r>
        <w:rPr>
          <w:i/>
          <w:spacing w:val="-6"/>
          <w:sz w:val="22"/>
        </w:rPr>
        <w:t> </w:t>
      </w:r>
      <w:r>
        <w:rPr>
          <w:i/>
          <w:spacing w:val="-2"/>
          <w:sz w:val="22"/>
        </w:rPr>
        <w:t>denominado</w:t>
      </w:r>
      <w:r>
        <w:rPr>
          <w:i/>
          <w:spacing w:val="1"/>
          <w:sz w:val="22"/>
        </w:rPr>
        <w:t> </w:t>
      </w:r>
      <w:r>
        <w:rPr>
          <w:i/>
          <w:spacing w:val="-2"/>
          <w:sz w:val="22"/>
        </w:rPr>
        <w:t>"Conselheiros</w:t>
      </w:r>
    </w:p>
    <w:p>
      <w:pPr>
        <w:spacing w:before="1"/>
        <w:ind w:left="127" w:right="0" w:firstLine="0"/>
        <w:jc w:val="left"/>
        <w:rPr>
          <w:i/>
          <w:sz w:val="22"/>
        </w:rPr>
      </w:pPr>
      <w:r>
        <w:rPr>
          <w:i/>
          <w:sz w:val="22"/>
        </w:rPr>
        <w:t>–</w:t>
      </w:r>
      <w:r>
        <w:rPr>
          <w:i/>
          <w:spacing w:val="75"/>
          <w:sz w:val="22"/>
        </w:rPr>
        <w:t> </w:t>
      </w:r>
      <w:r>
        <w:rPr>
          <w:i/>
          <w:sz w:val="22"/>
        </w:rPr>
        <w:t>CMI</w:t>
      </w:r>
      <w:r>
        <w:rPr>
          <w:i/>
          <w:spacing w:val="73"/>
          <w:sz w:val="22"/>
        </w:rPr>
        <w:t> </w:t>
      </w:r>
      <w:r>
        <w:rPr>
          <w:i/>
          <w:sz w:val="22"/>
        </w:rPr>
        <w:t>Gestão</w:t>
      </w:r>
      <w:r>
        <w:rPr>
          <w:i/>
          <w:spacing w:val="76"/>
          <w:sz w:val="22"/>
        </w:rPr>
        <w:t> </w:t>
      </w:r>
      <w:r>
        <w:rPr>
          <w:i/>
          <w:sz w:val="22"/>
        </w:rPr>
        <w:t>2025-2027",</w:t>
      </w:r>
      <w:r>
        <w:rPr>
          <w:i/>
          <w:spacing w:val="74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74"/>
          <w:sz w:val="22"/>
        </w:rPr>
        <w:t> </w:t>
      </w:r>
      <w:r>
        <w:rPr>
          <w:i/>
          <w:sz w:val="22"/>
        </w:rPr>
        <w:t>meio</w:t>
      </w:r>
      <w:r>
        <w:rPr>
          <w:i/>
          <w:spacing w:val="76"/>
          <w:sz w:val="22"/>
        </w:rPr>
        <w:t> </w:t>
      </w:r>
      <w:r>
        <w:rPr>
          <w:i/>
          <w:sz w:val="22"/>
        </w:rPr>
        <w:t>de</w:t>
      </w:r>
      <w:r>
        <w:rPr>
          <w:i/>
          <w:spacing w:val="74"/>
          <w:sz w:val="22"/>
        </w:rPr>
        <w:t> </w:t>
      </w:r>
      <w:r>
        <w:rPr>
          <w:i/>
          <w:sz w:val="22"/>
        </w:rPr>
        <w:t>capturas</w:t>
      </w:r>
      <w:r>
        <w:rPr>
          <w:i/>
          <w:spacing w:val="73"/>
          <w:sz w:val="22"/>
        </w:rPr>
        <w:t> </w:t>
      </w:r>
      <w:r>
        <w:rPr>
          <w:i/>
          <w:sz w:val="22"/>
        </w:rPr>
        <w:t>de</w:t>
      </w:r>
      <w:r>
        <w:rPr>
          <w:i/>
          <w:spacing w:val="74"/>
          <w:sz w:val="22"/>
        </w:rPr>
        <w:t> </w:t>
      </w:r>
      <w:r>
        <w:rPr>
          <w:i/>
          <w:sz w:val="22"/>
        </w:rPr>
        <w:t>tela</w:t>
      </w:r>
      <w:r>
        <w:rPr>
          <w:i/>
          <w:spacing w:val="76"/>
          <w:sz w:val="22"/>
        </w:rPr>
        <w:t> </w:t>
      </w:r>
      <w:r>
        <w:rPr>
          <w:i/>
          <w:sz w:val="22"/>
        </w:rPr>
        <w:t>(prints),</w:t>
      </w:r>
      <w:r>
        <w:rPr>
          <w:i/>
          <w:spacing w:val="74"/>
          <w:sz w:val="22"/>
        </w:rPr>
        <w:t> </w:t>
      </w:r>
      <w:r>
        <w:rPr>
          <w:i/>
          <w:sz w:val="22"/>
        </w:rPr>
        <w:t>abrangendo</w:t>
      </w:r>
      <w:r>
        <w:rPr>
          <w:i/>
          <w:spacing w:val="71"/>
          <w:sz w:val="22"/>
        </w:rPr>
        <w:t> </w:t>
      </w:r>
      <w:r>
        <w:rPr>
          <w:i/>
          <w:sz w:val="22"/>
        </w:rPr>
        <w:t>o</w:t>
      </w:r>
      <w:r>
        <w:rPr>
          <w:i/>
          <w:spacing w:val="76"/>
          <w:sz w:val="22"/>
        </w:rPr>
        <w:t> </w:t>
      </w:r>
      <w:r>
        <w:rPr>
          <w:i/>
          <w:sz w:val="22"/>
        </w:rPr>
        <w:t>período correspondente aos fatos objeto da apuração;</w:t>
      </w:r>
    </w:p>
    <w:p>
      <w:pPr>
        <w:pStyle w:val="ListParagraph"/>
        <w:numPr>
          <w:ilvl w:val="0"/>
          <w:numId w:val="4"/>
        </w:numPr>
        <w:tabs>
          <w:tab w:pos="316" w:val="left" w:leader="none"/>
        </w:tabs>
        <w:spacing w:line="240" w:lineRule="auto" w:before="238" w:after="0"/>
        <w:ind w:left="127" w:right="216" w:firstLine="0"/>
        <w:jc w:val="both"/>
        <w:rPr>
          <w:i/>
          <w:sz w:val="22"/>
        </w:rPr>
      </w:pPr>
      <w:r>
        <w:rPr>
          <w:i/>
          <w:sz w:val="22"/>
        </w:rPr>
        <w:t>– Arquivos de áudio encaminhados pelos participantes da discussão, devidamente extraídos, preservados e anexados aos autos, permitindo a análise integral do conteúdo das manifestações </w:t>
      </w:r>
      <w:r>
        <w:rPr>
          <w:i/>
          <w:spacing w:val="-2"/>
          <w:sz w:val="22"/>
        </w:rPr>
        <w:t>realizadas;</w:t>
      </w:r>
    </w:p>
    <w:p>
      <w:pPr>
        <w:pStyle w:val="ListParagraph"/>
        <w:numPr>
          <w:ilvl w:val="0"/>
          <w:numId w:val="4"/>
        </w:numPr>
        <w:tabs>
          <w:tab w:pos="345" w:val="left" w:leader="none"/>
        </w:tabs>
        <w:spacing w:line="240" w:lineRule="auto" w:before="240" w:after="0"/>
        <w:ind w:left="127" w:right="205" w:firstLine="0"/>
        <w:jc w:val="both"/>
        <w:rPr>
          <w:i/>
          <w:sz w:val="22"/>
        </w:rPr>
      </w:pPr>
      <w:r>
        <w:rPr>
          <w:i/>
          <w:sz w:val="22"/>
        </w:rPr>
        <w:t>– atas das reuniões de instrução realizadas no âmbito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deste Processo Administrativo, contendo os relatos e esclarecimentos prestados pelos conselheiros Prudence Kalambay, Sonia Flores Mamani e </w:t>
      </w:r>
      <w:r>
        <w:rPr>
          <w:sz w:val="22"/>
        </w:rPr>
        <w:t>Abdulbaset Jarour, na reunião realizada em 30 de junho de 2026, bem como a ata da reunião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oitiva</w:t>
      </w:r>
      <w:r>
        <w:rPr>
          <w:spacing w:val="-3"/>
          <w:sz w:val="22"/>
        </w:rPr>
        <w:t> </w:t>
      </w:r>
      <w:r>
        <w:rPr>
          <w:sz w:val="22"/>
        </w:rPr>
        <w:t>da</w:t>
      </w:r>
      <w:r>
        <w:rPr>
          <w:spacing w:val="-4"/>
          <w:sz w:val="22"/>
        </w:rPr>
        <w:t> </w:t>
      </w:r>
      <w:r>
        <w:rPr>
          <w:sz w:val="22"/>
        </w:rPr>
        <w:t>conselheira</w:t>
      </w:r>
      <w:r>
        <w:rPr>
          <w:spacing w:val="-1"/>
          <w:sz w:val="22"/>
        </w:rPr>
        <w:t> </w:t>
      </w:r>
      <w:r>
        <w:rPr>
          <w:sz w:val="22"/>
        </w:rPr>
        <w:t>Mariamma</w:t>
      </w:r>
      <w:r>
        <w:rPr>
          <w:spacing w:val="-3"/>
          <w:sz w:val="22"/>
        </w:rPr>
        <w:t> </w:t>
      </w:r>
      <w:r>
        <w:rPr>
          <w:sz w:val="22"/>
        </w:rPr>
        <w:t>Bah, realizada</w:t>
      </w:r>
      <w:r>
        <w:rPr>
          <w:spacing w:val="-3"/>
          <w:sz w:val="22"/>
        </w:rPr>
        <w:t> </w:t>
      </w:r>
      <w:r>
        <w:rPr>
          <w:sz w:val="22"/>
        </w:rPr>
        <w:t>em</w:t>
      </w:r>
      <w:r>
        <w:rPr>
          <w:spacing w:val="-2"/>
          <w:sz w:val="22"/>
        </w:rPr>
        <w:t> </w:t>
      </w:r>
      <w:r>
        <w:rPr>
          <w:sz w:val="22"/>
        </w:rPr>
        <w:t>15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junho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2026,</w:t>
      </w:r>
      <w:r>
        <w:rPr>
          <w:spacing w:val="-2"/>
          <w:sz w:val="22"/>
        </w:rPr>
        <w:t> </w:t>
      </w:r>
      <w:r>
        <w:rPr>
          <w:sz w:val="22"/>
        </w:rPr>
        <w:t>op</w:t>
      </w:r>
      <w:r>
        <w:rPr>
          <w:i/>
          <w:sz w:val="22"/>
        </w:rPr>
        <w:t>ortunidade em que lhe foi assegurado o exercício do contraditório e da ampla defesa.</w:t>
      </w:r>
    </w:p>
    <w:p>
      <w:pPr>
        <w:spacing w:before="242"/>
        <w:ind w:left="127" w:right="210" w:firstLine="0"/>
        <w:jc w:val="both"/>
        <w:rPr>
          <w:i/>
          <w:sz w:val="22"/>
        </w:rPr>
      </w:pPr>
      <w:r>
        <w:rPr>
          <w:i/>
          <w:sz w:val="22"/>
        </w:rPr>
        <w:t>Os documentos mencionados encontram-se reunidos em apenso ao presente Processo Administrativo, passando a integrar sua instrução probatória para todos os fins de direito.</w:t>
      </w:r>
    </w:p>
    <w:p>
      <w:pPr>
        <w:spacing w:before="239"/>
        <w:ind w:left="127" w:right="209" w:firstLine="0"/>
        <w:jc w:val="both"/>
        <w:rPr>
          <w:i/>
          <w:sz w:val="22"/>
        </w:rPr>
      </w:pPr>
      <w:r>
        <w:rPr>
          <w:i/>
          <w:sz w:val="22"/>
        </w:rPr>
        <w:t>Após a análise conjunta de todo o acervo documental e das manifestações das partes, esta Presidência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concluiu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que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os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elementos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probatórios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são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suficientes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para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demonstrar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materialidade dos fatos apurados e fundamentar a presente manifestação, observados os princípios do devido processo legal, do contraditório, da ampla defesa e da motivação dos atos administrativos.</w:t>
      </w:r>
    </w:p>
    <w:p>
      <w:pPr>
        <w:pStyle w:val="Heading2"/>
        <w:numPr>
          <w:ilvl w:val="0"/>
          <w:numId w:val="3"/>
        </w:numPr>
        <w:tabs>
          <w:tab w:pos="296" w:val="left" w:leader="none"/>
        </w:tabs>
        <w:spacing w:line="240" w:lineRule="auto" w:before="241" w:after="0"/>
        <w:ind w:left="296" w:right="0" w:hanging="169"/>
        <w:jc w:val="left"/>
      </w:pPr>
      <w:r>
        <w:rPr/>
        <w:t>Da</w:t>
      </w:r>
      <w:r>
        <w:rPr>
          <w:spacing w:val="-3"/>
        </w:rPr>
        <w:t> </w:t>
      </w:r>
      <w:r>
        <w:rPr>
          <w:spacing w:val="-2"/>
        </w:rPr>
        <w:t>Análise</w:t>
      </w:r>
    </w:p>
    <w:p>
      <w:pPr>
        <w:spacing w:line="240" w:lineRule="auto" w:before="241"/>
        <w:ind w:left="127" w:right="215" w:firstLine="0"/>
        <w:jc w:val="both"/>
        <w:rPr>
          <w:i/>
          <w:sz w:val="22"/>
        </w:rPr>
      </w:pPr>
      <w:r>
        <w:rPr>
          <w:i/>
          <w:sz w:val="22"/>
        </w:rPr>
        <w:t>Após a realização das oitivas e da análise das mensagens, áudios e demais elementos constantes do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grupo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oficial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de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WhatsApp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Conselho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Municipal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de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Imigrantes,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esta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Presidência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conclui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que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a conduta da conselheira Mariamma Bah extrapolou os limites do debate institucional.</w:t>
      </w:r>
    </w:p>
    <w:p>
      <w:pPr>
        <w:spacing w:line="242" w:lineRule="auto" w:before="240"/>
        <w:ind w:left="127" w:right="216" w:firstLine="0"/>
        <w:jc w:val="both"/>
        <w:rPr>
          <w:i/>
          <w:sz w:val="22"/>
        </w:rPr>
      </w:pPr>
      <w:r>
        <w:rPr>
          <w:i/>
          <w:sz w:val="22"/>
        </w:rPr>
        <w:t>Restou evidenciado que foram proferidas manifestações de caráter ofensivo, desrespeitoso e incompatível com os deveres de urbanidade, respeito mútuo e convivência institucional exigidos dos membros deste colegiado.</w:t>
      </w:r>
    </w:p>
    <w:p>
      <w:pPr>
        <w:spacing w:before="232"/>
        <w:ind w:left="127" w:right="205" w:firstLine="0"/>
        <w:jc w:val="both"/>
        <w:rPr>
          <w:i/>
          <w:sz w:val="22"/>
        </w:rPr>
      </w:pPr>
      <w:r>
        <w:rPr>
          <w:i/>
          <w:sz w:val="22"/>
        </w:rPr>
        <w:t>Embora seja plenamente assegurada a liberdade de manifestação dos conselheiros, tal prerrogativa não afasta o dever de observância dos princípios da moralidade administrativa, da boa-fé,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da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cooperação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institucional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e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respeito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à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dignidade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dos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demais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integrantes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colegiado.</w:t>
      </w:r>
    </w:p>
    <w:p>
      <w:pPr>
        <w:spacing w:before="240"/>
        <w:ind w:left="127" w:right="205" w:firstLine="0"/>
        <w:jc w:val="both"/>
        <w:rPr>
          <w:i/>
          <w:sz w:val="22"/>
        </w:rPr>
      </w:pPr>
      <w:r>
        <w:rPr>
          <w:i/>
          <w:sz w:val="22"/>
        </w:rPr>
        <w:t>Nesse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contexto,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entende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esta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Presidência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que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conduta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praticada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pela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conselheira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Mariamma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Bah caracteriza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ato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incompatível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com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o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exercício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da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função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de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conselheira,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enquadrando-se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na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hipótese prevista no artigo 32, inciso II, do Regimento Interno:</w:t>
      </w:r>
    </w:p>
    <w:p>
      <w:pPr>
        <w:spacing w:after="0"/>
        <w:jc w:val="both"/>
        <w:rPr>
          <w:i/>
          <w:sz w:val="22"/>
        </w:rPr>
        <w:sectPr>
          <w:pgSz w:w="11910" w:h="16840"/>
          <w:pgMar w:top="1340" w:bottom="280" w:left="1133" w:right="1700"/>
        </w:sectPr>
      </w:pPr>
    </w:p>
    <w:p>
      <w:pPr>
        <w:pStyle w:val="Heading2"/>
        <w:spacing w:before="76"/>
        <w:ind w:left="127" w:right="225" w:firstLine="0"/>
        <w:jc w:val="both"/>
      </w:pPr>
      <w:r>
        <w:rPr/>
        <w:t>“Art. 32. Será excluído do quadro de membros do Conselho Municipal de Imigrantes o(a) representante que: (...) II – Praticar atos incompatíveis com a função de Conselheiro(a).”</w:t>
      </w:r>
    </w:p>
    <w:p>
      <w:pPr>
        <w:spacing w:line="240" w:lineRule="auto" w:before="243"/>
        <w:ind w:left="127" w:right="209" w:firstLine="0"/>
        <w:jc w:val="both"/>
        <w:rPr>
          <w:i/>
          <w:sz w:val="22"/>
        </w:rPr>
      </w:pPr>
      <w:r>
        <w:rPr>
          <w:i/>
          <w:sz w:val="22"/>
        </w:rPr>
        <w:t>Embora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o referido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dispositivo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preveja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penalidade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máxima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de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exclusão,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esta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Presidência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entende que, diante das circunstâncias do caso concreto, da inexistência de previsão expressa de sanções intermediárias no Regimento Interno e observados os princípios da proporcionalidade e da razoabilidade, mostra-se adequada a aplicação de penalidade menos gravosa.</w:t>
      </w:r>
    </w:p>
    <w:p>
      <w:pPr>
        <w:spacing w:line="242" w:lineRule="auto" w:before="236"/>
        <w:ind w:left="127" w:right="206" w:firstLine="0"/>
        <w:jc w:val="both"/>
        <w:rPr>
          <w:i/>
          <w:sz w:val="22"/>
        </w:rPr>
      </w:pPr>
      <w:r>
        <w:rPr>
          <w:i/>
          <w:sz w:val="22"/>
        </w:rPr>
        <w:t>Nesse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sentido,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Presidência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Conselho,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em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conjunto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com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o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Departamento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de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Participação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Social da SMDHC, deliberou pela aplicação de sanção administrativa consistente na suspensão da participação da conselheira Mariamma Bah em uma reunião ordinária do Conselho Municipal de Imigrantes, como medida proporcional à gravidade dos fatos apurados.</w:t>
      </w:r>
    </w:p>
    <w:p>
      <w:pPr>
        <w:spacing w:before="231"/>
        <w:ind w:left="127" w:right="0" w:firstLine="0"/>
        <w:jc w:val="both"/>
        <w:rPr>
          <w:sz w:val="22"/>
        </w:rPr>
      </w:pPr>
      <w:r>
        <w:rPr>
          <w:i/>
          <w:sz w:val="22"/>
        </w:rPr>
        <w:t>Tal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deliberação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encontra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respaldo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no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artigo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34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Regime</w:t>
      </w:r>
      <w:r>
        <w:rPr>
          <w:sz w:val="22"/>
        </w:rPr>
        <w:t>nto</w:t>
      </w:r>
      <w:r>
        <w:rPr>
          <w:spacing w:val="-4"/>
          <w:sz w:val="22"/>
        </w:rPr>
        <w:t> </w:t>
      </w:r>
      <w:r>
        <w:rPr>
          <w:sz w:val="22"/>
        </w:rPr>
        <w:t>Interno,</w:t>
      </w:r>
      <w:r>
        <w:rPr>
          <w:spacing w:val="-3"/>
          <w:sz w:val="22"/>
        </w:rPr>
        <w:t> </w:t>
      </w:r>
      <w:r>
        <w:rPr>
          <w:sz w:val="22"/>
        </w:rPr>
        <w:t>que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estabelece:</w:t>
      </w:r>
    </w:p>
    <w:p>
      <w:pPr>
        <w:spacing w:before="241"/>
        <w:ind w:left="127" w:right="225" w:firstLine="0"/>
        <w:jc w:val="both"/>
        <w:rPr>
          <w:b/>
          <w:i/>
          <w:sz w:val="22"/>
        </w:rPr>
      </w:pPr>
      <w:r>
        <w:rPr>
          <w:b/>
          <w:i/>
          <w:sz w:val="22"/>
        </w:rPr>
        <w:t>“Art. 34. Os casos omissos ou duvidosos na interpretação deste Regimento Interno serão dirimidos por deliberação de 2/3 (dois terços) dos Conselheiros(as) com direito a voto.</w:t>
      </w:r>
    </w:p>
    <w:p>
      <w:pPr>
        <w:spacing w:before="238"/>
        <w:ind w:left="127" w:right="212" w:firstLine="0"/>
        <w:jc w:val="both"/>
        <w:rPr>
          <w:b/>
          <w:i/>
          <w:sz w:val="22"/>
        </w:rPr>
      </w:pPr>
      <w:r>
        <w:rPr>
          <w:b/>
          <w:i/>
          <w:sz w:val="22"/>
        </w:rPr>
        <w:t>A</w:t>
      </w:r>
      <w:r>
        <w:rPr>
          <w:b/>
          <w:i/>
          <w:spacing w:val="-1"/>
          <w:sz w:val="22"/>
        </w:rPr>
        <w:t> </w:t>
      </w:r>
      <w:r>
        <w:rPr>
          <w:b/>
          <w:i/>
          <w:sz w:val="22"/>
        </w:rPr>
        <w:t>ausência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de</w:t>
      </w:r>
      <w:r>
        <w:rPr>
          <w:b/>
          <w:i/>
          <w:spacing w:val="-1"/>
          <w:sz w:val="22"/>
        </w:rPr>
        <w:t> </w:t>
      </w:r>
      <w:r>
        <w:rPr>
          <w:b/>
          <w:i/>
          <w:sz w:val="22"/>
        </w:rPr>
        <w:t>previsão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expressa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de</w:t>
      </w:r>
      <w:r>
        <w:rPr>
          <w:b/>
          <w:i/>
          <w:spacing w:val="-1"/>
          <w:sz w:val="22"/>
        </w:rPr>
        <w:t> </w:t>
      </w:r>
      <w:r>
        <w:rPr>
          <w:b/>
          <w:i/>
          <w:sz w:val="22"/>
        </w:rPr>
        <w:t>penalidades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intermediárias</w:t>
      </w:r>
      <w:r>
        <w:rPr>
          <w:b/>
          <w:i/>
          <w:spacing w:val="-4"/>
          <w:sz w:val="22"/>
        </w:rPr>
        <w:t> </w:t>
      </w:r>
      <w:r>
        <w:rPr>
          <w:b/>
          <w:i/>
          <w:sz w:val="22"/>
        </w:rPr>
        <w:t>autoriza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a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utilização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do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referido dispositivo para suprir a lacuna normativa, mediante deliberação do Plenário, observados os princípios da legalidade, proporcionalidade, razoabilidade e interesse público.”</w:t>
      </w:r>
    </w:p>
    <w:p>
      <w:pPr>
        <w:pStyle w:val="ListParagraph"/>
        <w:numPr>
          <w:ilvl w:val="0"/>
          <w:numId w:val="3"/>
        </w:numPr>
        <w:tabs>
          <w:tab w:pos="296" w:val="left" w:leader="none"/>
        </w:tabs>
        <w:spacing w:line="240" w:lineRule="auto" w:before="240" w:after="0"/>
        <w:ind w:left="296" w:right="0" w:hanging="169"/>
        <w:jc w:val="left"/>
        <w:rPr>
          <w:b/>
          <w:i/>
          <w:sz w:val="22"/>
        </w:rPr>
      </w:pPr>
      <w:r>
        <w:rPr>
          <w:b/>
          <w:i/>
          <w:sz w:val="22"/>
        </w:rPr>
        <w:t>Do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Contraditório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e</w:t>
      </w:r>
      <w:r>
        <w:rPr>
          <w:b/>
          <w:i/>
          <w:spacing w:val="-2"/>
          <w:sz w:val="22"/>
        </w:rPr>
        <w:t> </w:t>
      </w:r>
      <w:r>
        <w:rPr>
          <w:b/>
          <w:i/>
          <w:sz w:val="22"/>
        </w:rPr>
        <w:t>da</w:t>
      </w:r>
      <w:r>
        <w:rPr>
          <w:b/>
          <w:i/>
          <w:spacing w:val="-4"/>
          <w:sz w:val="22"/>
        </w:rPr>
        <w:t> </w:t>
      </w:r>
      <w:r>
        <w:rPr>
          <w:b/>
          <w:i/>
          <w:sz w:val="22"/>
        </w:rPr>
        <w:t>Ampla</w:t>
      </w:r>
      <w:r>
        <w:rPr>
          <w:b/>
          <w:i/>
          <w:spacing w:val="-3"/>
          <w:sz w:val="22"/>
        </w:rPr>
        <w:t> </w:t>
      </w:r>
      <w:r>
        <w:rPr>
          <w:b/>
          <w:i/>
          <w:spacing w:val="-2"/>
          <w:sz w:val="22"/>
        </w:rPr>
        <w:t>Defesa</w:t>
      </w:r>
    </w:p>
    <w:p>
      <w:pPr>
        <w:spacing w:line="240" w:lineRule="auto" w:before="241"/>
        <w:ind w:left="127" w:right="211" w:firstLine="0"/>
        <w:jc w:val="both"/>
        <w:rPr>
          <w:i/>
          <w:sz w:val="22"/>
        </w:rPr>
      </w:pPr>
      <w:r>
        <w:rPr>
          <w:i/>
          <w:sz w:val="22"/>
        </w:rPr>
        <w:t>Registra-se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que,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durante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toda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instrução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processual,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foram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assegurados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à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conselheira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Mariamma Bah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o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contraditório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e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ampla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defesa,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em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conformidade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com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os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princípios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constitucionais</w:t>
      </w:r>
      <w:r>
        <w:rPr>
          <w:i/>
          <w:spacing w:val="-13"/>
          <w:sz w:val="22"/>
        </w:rPr>
        <w:t> </w:t>
      </w:r>
      <w:r>
        <w:rPr>
          <w:i/>
          <w:sz w:val="22"/>
        </w:rPr>
        <w:t>aplicáveis aos processos administrativos. Da mesma forma, eventual aplicação de sanção deverá ser precedida da concessão de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oportunidade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para manifestação da interessada perante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a Plenária do Conselho Municipal de Imigrantes.</w:t>
      </w:r>
    </w:p>
    <w:p>
      <w:pPr>
        <w:pStyle w:val="BodyText"/>
        <w:spacing w:before="35"/>
        <w:ind w:left="0"/>
        <w:rPr>
          <w:i/>
        </w:rPr>
      </w:pPr>
    </w:p>
    <w:p>
      <w:pPr>
        <w:pStyle w:val="Heading2"/>
        <w:numPr>
          <w:ilvl w:val="0"/>
          <w:numId w:val="3"/>
        </w:numPr>
        <w:tabs>
          <w:tab w:pos="296" w:val="left" w:leader="none"/>
        </w:tabs>
        <w:spacing w:line="240" w:lineRule="auto" w:before="0" w:after="0"/>
        <w:ind w:left="296" w:right="0" w:hanging="169"/>
        <w:jc w:val="left"/>
      </w:pPr>
      <w:bookmarkStart w:name="6.Da Deliberação Plenária" w:id="1"/>
      <w:bookmarkEnd w:id="1"/>
      <w:r>
        <w:rPr>
          <w:b w:val="0"/>
          <w:i w:val="0"/>
        </w:rPr>
      </w:r>
      <w:r>
        <w:rPr/>
        <w:t>Da</w:t>
      </w:r>
      <w:r>
        <w:rPr>
          <w:spacing w:val="-5"/>
        </w:rPr>
        <w:t> </w:t>
      </w:r>
      <w:r>
        <w:rPr/>
        <w:t>Deliberação</w:t>
      </w:r>
      <w:r>
        <w:rPr>
          <w:spacing w:val="-3"/>
        </w:rPr>
        <w:t> </w:t>
      </w:r>
      <w:r>
        <w:rPr>
          <w:spacing w:val="-2"/>
        </w:rPr>
        <w:t>Plenária</w:t>
      </w:r>
    </w:p>
    <w:p>
      <w:pPr>
        <w:pStyle w:val="BodyText"/>
        <w:spacing w:before="162"/>
        <w:ind w:left="0"/>
        <w:rPr>
          <w:b/>
          <w:i/>
        </w:rPr>
      </w:pPr>
    </w:p>
    <w:p>
      <w:pPr>
        <w:spacing w:line="360" w:lineRule="auto" w:before="1"/>
        <w:ind w:left="127" w:right="219" w:firstLine="0"/>
        <w:jc w:val="both"/>
        <w:rPr>
          <w:i/>
          <w:sz w:val="22"/>
        </w:rPr>
      </w:pPr>
      <w:r>
        <w:rPr>
          <w:i/>
          <w:sz w:val="22"/>
        </w:rPr>
        <w:t>Considerando que o Conselho Municipal de Imigrantes constitui órgão colegiado, cujas decisões administrativas dependem de deliberação de seus membros com direito a voz e voto, esta Presidência entende que a aplicação da sanção deverá ser submetida à apreciação da Plenária.</w:t>
      </w:r>
    </w:p>
    <w:p>
      <w:pPr>
        <w:spacing w:before="242"/>
        <w:ind w:left="127" w:right="0" w:firstLine="0"/>
        <w:jc w:val="both"/>
        <w:rPr>
          <w:i/>
          <w:sz w:val="22"/>
        </w:rPr>
      </w:pPr>
      <w:r>
        <w:rPr>
          <w:i/>
          <w:sz w:val="22"/>
        </w:rPr>
        <w:t>Dessa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forma,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propõe-</w:t>
      </w:r>
      <w:r>
        <w:rPr>
          <w:i/>
          <w:spacing w:val="-5"/>
          <w:sz w:val="22"/>
        </w:rPr>
        <w:t>se:</w:t>
      </w:r>
    </w:p>
    <w:p>
      <w:pPr>
        <w:pStyle w:val="ListParagraph"/>
        <w:numPr>
          <w:ilvl w:val="1"/>
          <w:numId w:val="3"/>
        </w:numPr>
        <w:tabs>
          <w:tab w:pos="360" w:val="left" w:leader="none"/>
        </w:tabs>
        <w:spacing w:line="240" w:lineRule="auto" w:before="236" w:after="0"/>
        <w:ind w:left="127" w:right="217" w:firstLine="0"/>
        <w:jc w:val="left"/>
        <w:rPr>
          <w:i/>
          <w:sz w:val="22"/>
        </w:rPr>
      </w:pPr>
      <w:r>
        <w:rPr>
          <w:i/>
          <w:sz w:val="22"/>
        </w:rPr>
        <w:t>que seja assegurado à conselheira Mariamma Bah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o direito de realizar sua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defesa oral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perante a Plenária, pelo tempo de até 10 (dez) minutos;</w:t>
      </w:r>
    </w:p>
    <w:p>
      <w:pPr>
        <w:pStyle w:val="ListParagraph"/>
        <w:numPr>
          <w:ilvl w:val="1"/>
          <w:numId w:val="3"/>
        </w:numPr>
        <w:tabs>
          <w:tab w:pos="405" w:val="left" w:leader="none"/>
        </w:tabs>
        <w:spacing w:line="240" w:lineRule="auto" w:before="243" w:after="0"/>
        <w:ind w:left="127" w:right="208" w:firstLine="0"/>
        <w:jc w:val="both"/>
        <w:rPr>
          <w:i/>
          <w:sz w:val="22"/>
        </w:rPr>
      </w:pPr>
      <w:r>
        <w:rPr>
          <w:i/>
          <w:sz w:val="22"/>
        </w:rPr>
        <w:t>que, encerrada a manifestação da interessada, seja submetida à votação do colegiado a proposta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de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aplicação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da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penalidade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de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suspensão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da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participação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da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conselheira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em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uma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reunião ordinária do Conselho Municipal de Imigrantes,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observando-se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o quórum previsto no artigo 34 do Regimento Interno.</w:t>
      </w:r>
    </w:p>
    <w:p>
      <w:pPr>
        <w:pStyle w:val="BodyText"/>
        <w:spacing w:before="238"/>
        <w:ind w:left="0"/>
        <w:rPr>
          <w:i/>
        </w:rPr>
      </w:pPr>
    </w:p>
    <w:p>
      <w:pPr>
        <w:pStyle w:val="Heading2"/>
        <w:numPr>
          <w:ilvl w:val="0"/>
          <w:numId w:val="3"/>
        </w:numPr>
        <w:tabs>
          <w:tab w:pos="296" w:val="left" w:leader="none"/>
        </w:tabs>
        <w:spacing w:line="240" w:lineRule="auto" w:before="0" w:after="0"/>
        <w:ind w:left="296" w:right="0" w:hanging="169"/>
        <w:jc w:val="both"/>
      </w:pPr>
      <w:r>
        <w:rPr/>
        <w:t>Das</w:t>
      </w:r>
      <w:r>
        <w:rPr>
          <w:spacing w:val="-3"/>
        </w:rPr>
        <w:t> </w:t>
      </w:r>
      <w:r>
        <w:rPr>
          <w:spacing w:val="-2"/>
        </w:rPr>
        <w:t>Recomendações</w:t>
      </w:r>
    </w:p>
    <w:p>
      <w:pPr>
        <w:spacing w:line="240" w:lineRule="auto" w:before="2"/>
        <w:ind w:left="127" w:right="220" w:firstLine="0"/>
        <w:jc w:val="both"/>
        <w:rPr>
          <w:i/>
          <w:sz w:val="22"/>
        </w:rPr>
      </w:pPr>
      <w:r>
        <w:rPr>
          <w:i/>
          <w:sz w:val="22"/>
        </w:rPr>
        <w:t>Independentemente da deliberação acerca da sanção administrativa, esta Presidência considera necessária a adoção de medidas institucionais destinadas à prevenção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de conflitos futuros. Nesse sentido, recomenda-se:</w:t>
      </w:r>
    </w:p>
    <w:p>
      <w:pPr>
        <w:spacing w:after="0" w:line="240" w:lineRule="auto"/>
        <w:jc w:val="both"/>
        <w:rPr>
          <w:i/>
          <w:sz w:val="22"/>
        </w:rPr>
        <w:sectPr>
          <w:pgSz w:w="11910" w:h="16840"/>
          <w:pgMar w:top="1340" w:bottom="280" w:left="1133" w:right="1700"/>
        </w:sectPr>
      </w:pPr>
    </w:p>
    <w:p>
      <w:pPr>
        <w:spacing w:before="76"/>
        <w:ind w:left="127" w:right="0" w:firstLine="0"/>
        <w:jc w:val="left"/>
        <w:rPr>
          <w:i/>
          <w:sz w:val="22"/>
        </w:rPr>
      </w:pPr>
      <w:r>
        <w:rPr>
          <w:b/>
          <w:i/>
          <w:sz w:val="22"/>
        </w:rPr>
        <w:t>1.a </w:t>
      </w:r>
      <w:r>
        <w:rPr>
          <w:i/>
          <w:sz w:val="22"/>
        </w:rPr>
        <w:t>elaboração 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aprovação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de um Código de Conduta aplicável às reuniões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presenciais,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virtuais e aos grupos oficiais de comunicação do Conselho;</w:t>
      </w:r>
    </w:p>
    <w:p>
      <w:pPr>
        <w:spacing w:line="237" w:lineRule="auto" w:before="245"/>
        <w:ind w:left="127" w:right="0" w:firstLine="0"/>
        <w:jc w:val="left"/>
        <w:rPr>
          <w:i/>
          <w:sz w:val="22"/>
        </w:rPr>
      </w:pPr>
      <w:r>
        <w:rPr>
          <w:b/>
          <w:i/>
          <w:sz w:val="22"/>
        </w:rPr>
        <w:t>2.a</w:t>
      </w:r>
      <w:r>
        <w:rPr>
          <w:b/>
          <w:i/>
          <w:spacing w:val="80"/>
          <w:sz w:val="22"/>
        </w:rPr>
        <w:t> </w:t>
      </w:r>
      <w:r>
        <w:rPr>
          <w:i/>
          <w:sz w:val="22"/>
        </w:rPr>
        <w:t>regulamentação</w:t>
      </w:r>
      <w:r>
        <w:rPr>
          <w:i/>
          <w:spacing w:val="78"/>
          <w:sz w:val="22"/>
        </w:rPr>
        <w:t> </w:t>
      </w:r>
      <w:r>
        <w:rPr>
          <w:i/>
          <w:sz w:val="22"/>
        </w:rPr>
        <w:t>das</w:t>
      </w:r>
      <w:r>
        <w:rPr>
          <w:i/>
          <w:spacing w:val="80"/>
          <w:sz w:val="22"/>
        </w:rPr>
        <w:t> </w:t>
      </w:r>
      <w:r>
        <w:rPr>
          <w:i/>
          <w:sz w:val="22"/>
        </w:rPr>
        <w:t>infrações</w:t>
      </w:r>
      <w:r>
        <w:rPr>
          <w:i/>
          <w:spacing w:val="80"/>
          <w:sz w:val="22"/>
        </w:rPr>
        <w:t> </w:t>
      </w:r>
      <w:r>
        <w:rPr>
          <w:i/>
          <w:sz w:val="22"/>
        </w:rPr>
        <w:t>disciplinares</w:t>
      </w:r>
      <w:r>
        <w:rPr>
          <w:i/>
          <w:spacing w:val="80"/>
          <w:sz w:val="22"/>
        </w:rPr>
        <w:t> </w:t>
      </w:r>
      <w:r>
        <w:rPr>
          <w:i/>
          <w:sz w:val="22"/>
        </w:rPr>
        <w:t>e</w:t>
      </w:r>
      <w:r>
        <w:rPr>
          <w:i/>
          <w:spacing w:val="76"/>
          <w:sz w:val="22"/>
        </w:rPr>
        <w:t> </w:t>
      </w:r>
      <w:r>
        <w:rPr>
          <w:i/>
          <w:sz w:val="22"/>
        </w:rPr>
        <w:t>das</w:t>
      </w:r>
      <w:r>
        <w:rPr>
          <w:i/>
          <w:spacing w:val="80"/>
          <w:sz w:val="22"/>
        </w:rPr>
        <w:t> </w:t>
      </w:r>
      <w:r>
        <w:rPr>
          <w:i/>
          <w:sz w:val="22"/>
        </w:rPr>
        <w:t>respectivas</w:t>
      </w:r>
      <w:r>
        <w:rPr>
          <w:i/>
          <w:spacing w:val="80"/>
          <w:sz w:val="22"/>
        </w:rPr>
        <w:t> </w:t>
      </w:r>
      <w:r>
        <w:rPr>
          <w:i/>
          <w:sz w:val="22"/>
        </w:rPr>
        <w:t>sanções</w:t>
      </w:r>
      <w:r>
        <w:rPr>
          <w:i/>
          <w:spacing w:val="75"/>
          <w:sz w:val="22"/>
        </w:rPr>
        <w:t> </w:t>
      </w:r>
      <w:r>
        <w:rPr>
          <w:i/>
          <w:sz w:val="22"/>
        </w:rPr>
        <w:t>administrativas, observados os princípios do devido processo legal;</w:t>
      </w:r>
    </w:p>
    <w:p>
      <w:pPr>
        <w:spacing w:before="241"/>
        <w:ind w:left="103" w:right="135" w:firstLine="0"/>
        <w:jc w:val="center"/>
        <w:rPr>
          <w:i/>
          <w:sz w:val="22"/>
        </w:rPr>
      </w:pPr>
      <w:r>
        <w:rPr>
          <w:i/>
          <w:sz w:val="22"/>
        </w:rPr>
        <w:t>É o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relatório e</w:t>
      </w:r>
      <w:r>
        <w:rPr>
          <w:i/>
          <w:spacing w:val="-5"/>
          <w:sz w:val="22"/>
        </w:rPr>
        <w:t> </w:t>
      </w:r>
      <w:r>
        <w:rPr>
          <w:i/>
          <w:spacing w:val="-2"/>
          <w:sz w:val="22"/>
        </w:rPr>
        <w:t>parecer.</w:t>
      </w:r>
    </w:p>
    <w:p>
      <w:pPr>
        <w:pStyle w:val="BodyText"/>
        <w:spacing w:before="243"/>
        <w:ind w:left="0"/>
        <w:rPr>
          <w:i/>
        </w:rPr>
      </w:pPr>
    </w:p>
    <w:p>
      <w:pPr>
        <w:pStyle w:val="BodyText"/>
        <w:spacing w:line="276" w:lineRule="auto"/>
        <w:ind w:right="204" w:firstLine="760"/>
        <w:jc w:val="both"/>
      </w:pPr>
      <w:r>
        <w:rPr/>
        <w:t>Destacando que os fatos extrapolaram os limites da atuação institucional esperada dos membros</w:t>
      </w:r>
      <w:r>
        <w:rPr>
          <w:spacing w:val="-13"/>
        </w:rPr>
        <w:t> </w:t>
      </w:r>
      <w:r>
        <w:rPr/>
        <w:t>do</w:t>
      </w:r>
      <w:r>
        <w:rPr>
          <w:spacing w:val="-12"/>
        </w:rPr>
        <w:t> </w:t>
      </w:r>
      <w:r>
        <w:rPr/>
        <w:t>colegiado.</w:t>
      </w:r>
      <w:r>
        <w:rPr>
          <w:spacing w:val="-13"/>
        </w:rPr>
        <w:t> </w:t>
      </w:r>
      <w:r>
        <w:rPr/>
        <w:t>Informou</w:t>
      </w:r>
      <w:r>
        <w:rPr>
          <w:spacing w:val="-12"/>
        </w:rPr>
        <w:t> </w:t>
      </w:r>
      <w:r>
        <w:rPr/>
        <w:t>que</w:t>
      </w:r>
      <w:r>
        <w:rPr>
          <w:spacing w:val="-12"/>
        </w:rPr>
        <w:t> </w:t>
      </w:r>
      <w:r>
        <w:rPr/>
        <w:t>foram</w:t>
      </w:r>
      <w:r>
        <w:rPr>
          <w:spacing w:val="-12"/>
        </w:rPr>
        <w:t> </w:t>
      </w:r>
      <w:r>
        <w:rPr/>
        <w:t>realizadas</w:t>
      </w:r>
      <w:r>
        <w:rPr>
          <w:spacing w:val="-13"/>
        </w:rPr>
        <w:t> </w:t>
      </w:r>
      <w:r>
        <w:rPr/>
        <w:t>reuniões</w:t>
      </w:r>
      <w:r>
        <w:rPr>
          <w:spacing w:val="-12"/>
        </w:rPr>
        <w:t> </w:t>
      </w:r>
      <w:r>
        <w:rPr/>
        <w:t>com</w:t>
      </w:r>
      <w:r>
        <w:rPr>
          <w:spacing w:val="-12"/>
        </w:rPr>
        <w:t> </w:t>
      </w:r>
      <w:r>
        <w:rPr/>
        <w:t>as</w:t>
      </w:r>
      <w:r>
        <w:rPr>
          <w:spacing w:val="-13"/>
        </w:rPr>
        <w:t> </w:t>
      </w:r>
      <w:r>
        <w:rPr/>
        <w:t>partes</w:t>
      </w:r>
      <w:r>
        <w:rPr>
          <w:spacing w:val="-12"/>
        </w:rPr>
        <w:t> </w:t>
      </w:r>
      <w:r>
        <w:rPr/>
        <w:t>envolvidas</w:t>
      </w:r>
      <w:r>
        <w:rPr>
          <w:spacing w:val="-12"/>
        </w:rPr>
        <w:t> </w:t>
      </w:r>
      <w:r>
        <w:rPr/>
        <w:t>e</w:t>
      </w:r>
      <w:r>
        <w:rPr>
          <w:spacing w:val="-12"/>
        </w:rPr>
        <w:t> </w:t>
      </w:r>
      <w:r>
        <w:rPr/>
        <w:t>análise documental dos fatos, com o objetivo de garantir tratamento imparcial e observância ao devido processo.</w:t>
      </w:r>
      <w:r>
        <w:rPr>
          <w:spacing w:val="40"/>
        </w:rPr>
        <w:t> </w:t>
      </w:r>
      <w:r>
        <w:rPr/>
        <w:t>Após a análise das evidências apresentadas, a Presidência propôs, considerando os princípios da proporcionalidade e razoabilidade, a aplicação de sanção de suspensão da próxima reunião ordinária, em substituição à penalidade máxima prevista. Foi assegurado à conselheira Mariamma Bah o direito à ampla manifestação.</w:t>
      </w:r>
    </w:p>
    <w:p>
      <w:pPr>
        <w:pStyle w:val="BodyText"/>
        <w:spacing w:line="276" w:lineRule="auto" w:before="199"/>
        <w:ind w:right="211" w:firstLine="710"/>
        <w:jc w:val="both"/>
      </w:pPr>
      <w:r>
        <w:rPr/>
        <w:t>Em sua defesa, a</w:t>
      </w:r>
      <w:r>
        <w:rPr>
          <w:spacing w:val="-5"/>
        </w:rPr>
        <w:t> </w:t>
      </w:r>
      <w:r>
        <w:rPr/>
        <w:t>conselheira relatou sentir-se desrespeitada pela forma como o processo foi conduzido, argumentando que o debate deveria contemplar também questões estruturais relacionadas ao racismo, à representatividade de mulheres africanas e negras e à valorização das lideranças migrantes. Reafirmou sua trajetória de atuação em defesa dos direitos da população migrante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manifestou</w:t>
      </w:r>
      <w:r>
        <w:rPr>
          <w:spacing w:val="-3"/>
        </w:rPr>
        <w:t> </w:t>
      </w:r>
      <w:r>
        <w:rPr/>
        <w:t>o</w:t>
      </w:r>
      <w:r>
        <w:rPr>
          <w:spacing w:val="-8"/>
        </w:rPr>
        <w:t> </w:t>
      </w:r>
      <w:r>
        <w:rPr/>
        <w:t>desejo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contribuir</w:t>
      </w:r>
      <w:r>
        <w:rPr>
          <w:spacing w:val="-9"/>
        </w:rPr>
        <w:t> </w:t>
      </w:r>
      <w:r>
        <w:rPr/>
        <w:t>para</w:t>
      </w:r>
      <w:r>
        <w:rPr>
          <w:spacing w:val="-8"/>
        </w:rPr>
        <w:t> </w:t>
      </w:r>
      <w:r>
        <w:rPr/>
        <w:t>o</w:t>
      </w:r>
      <w:r>
        <w:rPr>
          <w:spacing w:val="-3"/>
        </w:rPr>
        <w:t> </w:t>
      </w:r>
      <w:r>
        <w:rPr/>
        <w:t>fortalecimento</w:t>
      </w:r>
      <w:r>
        <w:rPr>
          <w:spacing w:val="-8"/>
        </w:rPr>
        <w:t> </w:t>
      </w:r>
      <w:r>
        <w:rPr/>
        <w:t>das</w:t>
      </w:r>
      <w:r>
        <w:rPr>
          <w:spacing w:val="-8"/>
        </w:rPr>
        <w:t> </w:t>
      </w:r>
      <w:r>
        <w:rPr/>
        <w:t>políticas</w:t>
      </w:r>
      <w:r>
        <w:rPr>
          <w:spacing w:val="-8"/>
        </w:rPr>
        <w:t> </w:t>
      </w:r>
      <w:r>
        <w:rPr/>
        <w:t>públicas</w:t>
      </w:r>
      <w:r>
        <w:rPr>
          <w:spacing w:val="-8"/>
        </w:rPr>
        <w:t> </w:t>
      </w:r>
      <w:r>
        <w:rPr/>
        <w:t>voltadas à comunidade africana.</w:t>
      </w:r>
    </w:p>
    <w:p>
      <w:pPr>
        <w:pStyle w:val="BodyText"/>
        <w:spacing w:line="276" w:lineRule="auto" w:before="203"/>
        <w:ind w:right="219" w:firstLine="710"/>
        <w:jc w:val="both"/>
      </w:pPr>
      <w:r>
        <w:rPr/>
        <w:t>Encerradas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manifestações,</w:t>
      </w:r>
      <w:r>
        <w:rPr>
          <w:spacing w:val="-3"/>
        </w:rPr>
        <w:t> </w:t>
      </w:r>
      <w:r>
        <w:rPr/>
        <w:t>foi</w:t>
      </w:r>
      <w:r>
        <w:rPr>
          <w:spacing w:val="-3"/>
        </w:rPr>
        <w:t> </w:t>
      </w:r>
      <w:r>
        <w:rPr/>
        <w:t>realizada</w:t>
      </w:r>
      <w:r>
        <w:rPr>
          <w:spacing w:val="-4"/>
        </w:rPr>
        <w:t> </w:t>
      </w:r>
      <w:r>
        <w:rPr/>
        <w:t>votação pelos conselheiros</w:t>
      </w:r>
      <w:r>
        <w:rPr>
          <w:spacing w:val="-5"/>
        </w:rPr>
        <w:t> </w:t>
      </w:r>
      <w:r>
        <w:rPr/>
        <w:t>titulares</w:t>
      </w:r>
      <w:r>
        <w:rPr>
          <w:spacing w:val="-5"/>
        </w:rPr>
        <w:t> </w:t>
      </w:r>
      <w:r>
        <w:rPr/>
        <w:t>presentes, ou suplentes devidamente habilitados. Após apuração dos votos, a maioria deliberou pela não aplicação da sanção proposta, decidindo pela não suspensão da conselheira.</w:t>
      </w:r>
    </w:p>
    <w:p>
      <w:pPr>
        <w:pStyle w:val="BodyText"/>
        <w:spacing w:before="199"/>
        <w:ind w:left="838"/>
      </w:pPr>
      <w:r>
        <w:rPr/>
        <w:t>Segue</w:t>
      </w:r>
      <w:r>
        <w:rPr>
          <w:spacing w:val="-1"/>
        </w:rPr>
        <w:t> </w:t>
      </w:r>
      <w:r>
        <w:rPr/>
        <w:t>abaixo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contação</w:t>
      </w:r>
      <w:r>
        <w:rPr>
          <w:spacing w:val="-3"/>
        </w:rPr>
        <w:t> </w:t>
      </w:r>
      <w:r>
        <w:rPr/>
        <w:t>de </w:t>
      </w:r>
      <w:r>
        <w:rPr>
          <w:spacing w:val="-4"/>
        </w:rPr>
        <w:t>votos</w:t>
      </w:r>
    </w:p>
    <w:p>
      <w:pPr>
        <w:pStyle w:val="BodyText"/>
        <w:spacing w:before="9"/>
        <w:ind w:left="0"/>
        <w:rPr>
          <w:sz w:val="19"/>
        </w:rPr>
      </w:pPr>
    </w:p>
    <w:tbl>
      <w:tblPr>
        <w:tblW w:w="0" w:type="auto"/>
        <w:jc w:val="left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02"/>
        <w:gridCol w:w="1276"/>
        <w:gridCol w:w="1296"/>
        <w:gridCol w:w="1131"/>
        <w:gridCol w:w="1521"/>
      </w:tblGrid>
      <w:tr>
        <w:trPr>
          <w:trHeight w:val="1125" w:hRule="atLeast"/>
        </w:trPr>
        <w:tc>
          <w:tcPr>
            <w:tcW w:w="8726" w:type="dxa"/>
            <w:gridSpan w:val="5"/>
            <w:shd w:val="clear" w:color="auto" w:fill="D1F0DA"/>
          </w:tcPr>
          <w:p>
            <w:pPr>
              <w:pStyle w:val="TableParagraph"/>
              <w:spacing w:line="276" w:lineRule="auto" w:before="17"/>
              <w:ind w:left="6" w:right="4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333333"/>
                <w:sz w:val="28"/>
              </w:rPr>
              <w:t>Voto</w:t>
            </w:r>
            <w:r>
              <w:rPr>
                <w:rFonts w:ascii="Arial" w:hAnsi="Arial"/>
                <w:b/>
                <w:color w:val="333333"/>
                <w:spacing w:val="-5"/>
                <w:sz w:val="28"/>
              </w:rPr>
              <w:t> </w:t>
            </w:r>
            <w:r>
              <w:rPr>
                <w:rFonts w:ascii="Arial" w:hAnsi="Arial"/>
                <w:b/>
                <w:color w:val="333333"/>
                <w:sz w:val="28"/>
              </w:rPr>
              <w:t>aberto</w:t>
            </w:r>
            <w:r>
              <w:rPr>
                <w:rFonts w:ascii="Arial" w:hAnsi="Arial"/>
                <w:b/>
                <w:color w:val="333333"/>
                <w:spacing w:val="-5"/>
                <w:sz w:val="28"/>
              </w:rPr>
              <w:t> </w:t>
            </w:r>
            <w:r>
              <w:rPr>
                <w:rFonts w:ascii="Arial" w:hAnsi="Arial"/>
                <w:b/>
                <w:color w:val="333333"/>
                <w:sz w:val="28"/>
              </w:rPr>
              <w:t>e</w:t>
            </w:r>
            <w:r>
              <w:rPr>
                <w:rFonts w:ascii="Arial" w:hAnsi="Arial"/>
                <w:b/>
                <w:color w:val="333333"/>
                <w:spacing w:val="-4"/>
                <w:sz w:val="28"/>
              </w:rPr>
              <w:t> </w:t>
            </w:r>
            <w:r>
              <w:rPr>
                <w:rFonts w:ascii="Arial" w:hAnsi="Arial"/>
                <w:b/>
                <w:color w:val="333333"/>
                <w:sz w:val="28"/>
              </w:rPr>
              <w:t>direto</w:t>
            </w:r>
            <w:r>
              <w:rPr>
                <w:rFonts w:ascii="Arial" w:hAnsi="Arial"/>
                <w:b/>
                <w:color w:val="333333"/>
                <w:spacing w:val="-10"/>
                <w:sz w:val="28"/>
              </w:rPr>
              <w:t> </w:t>
            </w:r>
            <w:r>
              <w:rPr>
                <w:rFonts w:ascii="Arial" w:hAnsi="Arial"/>
                <w:b/>
                <w:color w:val="333333"/>
                <w:sz w:val="28"/>
              </w:rPr>
              <w:t>a</w:t>
            </w:r>
            <w:r>
              <w:rPr>
                <w:rFonts w:ascii="Arial" w:hAnsi="Arial"/>
                <w:b/>
                <w:color w:val="333333"/>
                <w:spacing w:val="-4"/>
                <w:sz w:val="28"/>
              </w:rPr>
              <w:t> </w:t>
            </w:r>
            <w:r>
              <w:rPr>
                <w:rFonts w:ascii="Arial" w:hAnsi="Arial"/>
                <w:b/>
                <w:color w:val="333333"/>
                <w:sz w:val="28"/>
              </w:rPr>
              <w:t>proposta</w:t>
            </w:r>
            <w:r>
              <w:rPr>
                <w:rFonts w:ascii="Arial" w:hAnsi="Arial"/>
                <w:b/>
                <w:color w:val="333333"/>
                <w:spacing w:val="-4"/>
                <w:sz w:val="28"/>
              </w:rPr>
              <w:t> </w:t>
            </w:r>
            <w:r>
              <w:rPr>
                <w:rFonts w:ascii="Arial" w:hAnsi="Arial"/>
                <w:b/>
                <w:color w:val="333333"/>
                <w:sz w:val="28"/>
              </w:rPr>
              <w:t>de</w:t>
            </w:r>
            <w:r>
              <w:rPr>
                <w:rFonts w:ascii="Arial" w:hAnsi="Arial"/>
                <w:b/>
                <w:color w:val="333333"/>
                <w:spacing w:val="-4"/>
                <w:sz w:val="28"/>
              </w:rPr>
              <w:t> </w:t>
            </w:r>
            <w:r>
              <w:rPr>
                <w:rFonts w:ascii="Arial" w:hAnsi="Arial"/>
                <w:b/>
                <w:color w:val="333333"/>
                <w:sz w:val="28"/>
              </w:rPr>
              <w:t>aplicação</w:t>
            </w:r>
            <w:r>
              <w:rPr>
                <w:rFonts w:ascii="Arial" w:hAnsi="Arial"/>
                <w:b/>
                <w:color w:val="333333"/>
                <w:spacing w:val="-5"/>
                <w:sz w:val="28"/>
              </w:rPr>
              <w:t> </w:t>
            </w:r>
            <w:r>
              <w:rPr>
                <w:rFonts w:ascii="Arial" w:hAnsi="Arial"/>
                <w:b/>
                <w:color w:val="333333"/>
                <w:sz w:val="28"/>
              </w:rPr>
              <w:t>da</w:t>
            </w:r>
            <w:r>
              <w:rPr>
                <w:rFonts w:ascii="Arial" w:hAnsi="Arial"/>
                <w:b/>
                <w:color w:val="333333"/>
                <w:spacing w:val="-4"/>
                <w:sz w:val="28"/>
              </w:rPr>
              <w:t> </w:t>
            </w:r>
            <w:r>
              <w:rPr>
                <w:rFonts w:ascii="Arial" w:hAnsi="Arial"/>
                <w:b/>
                <w:color w:val="333333"/>
                <w:sz w:val="28"/>
              </w:rPr>
              <w:t>penalidade</w:t>
            </w:r>
            <w:r>
              <w:rPr>
                <w:rFonts w:ascii="Arial" w:hAnsi="Arial"/>
                <w:b/>
                <w:color w:val="333333"/>
                <w:spacing w:val="-4"/>
                <w:sz w:val="28"/>
              </w:rPr>
              <w:t> </w:t>
            </w:r>
            <w:r>
              <w:rPr>
                <w:rFonts w:ascii="Arial" w:hAnsi="Arial"/>
                <w:b/>
                <w:color w:val="333333"/>
                <w:sz w:val="28"/>
              </w:rPr>
              <w:t>de suspensão da participação da conselheira em uma reunião</w:t>
            </w:r>
          </w:p>
          <w:p>
            <w:pPr>
              <w:pStyle w:val="TableParagraph"/>
              <w:spacing w:line="321" w:lineRule="exact"/>
              <w:ind w:left="6" w:right="5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333333"/>
                <w:sz w:val="28"/>
              </w:rPr>
              <w:t>ordinária</w:t>
            </w:r>
            <w:r>
              <w:rPr>
                <w:rFonts w:ascii="Arial" w:hAnsi="Arial"/>
                <w:b/>
                <w:color w:val="333333"/>
                <w:spacing w:val="-3"/>
                <w:sz w:val="28"/>
              </w:rPr>
              <w:t> </w:t>
            </w:r>
            <w:r>
              <w:rPr>
                <w:rFonts w:ascii="Arial" w:hAnsi="Arial"/>
                <w:b/>
                <w:color w:val="333333"/>
                <w:sz w:val="28"/>
              </w:rPr>
              <w:t>do</w:t>
            </w:r>
            <w:r>
              <w:rPr>
                <w:rFonts w:ascii="Arial" w:hAnsi="Arial"/>
                <w:b/>
                <w:color w:val="333333"/>
                <w:spacing w:val="-4"/>
                <w:sz w:val="28"/>
              </w:rPr>
              <w:t> </w:t>
            </w:r>
            <w:r>
              <w:rPr>
                <w:rFonts w:ascii="Arial" w:hAnsi="Arial"/>
                <w:b/>
                <w:color w:val="333333"/>
                <w:sz w:val="28"/>
              </w:rPr>
              <w:t>Conselho</w:t>
            </w:r>
            <w:r>
              <w:rPr>
                <w:rFonts w:ascii="Arial" w:hAnsi="Arial"/>
                <w:b/>
                <w:color w:val="333333"/>
                <w:spacing w:val="-3"/>
                <w:sz w:val="28"/>
              </w:rPr>
              <w:t> </w:t>
            </w:r>
            <w:r>
              <w:rPr>
                <w:rFonts w:ascii="Arial" w:hAnsi="Arial"/>
                <w:b/>
                <w:color w:val="333333"/>
                <w:sz w:val="28"/>
              </w:rPr>
              <w:t>Municipal</w:t>
            </w:r>
            <w:r>
              <w:rPr>
                <w:rFonts w:ascii="Arial" w:hAnsi="Arial"/>
                <w:b/>
                <w:color w:val="333333"/>
                <w:spacing w:val="-1"/>
                <w:sz w:val="28"/>
              </w:rPr>
              <w:t> </w:t>
            </w:r>
            <w:r>
              <w:rPr>
                <w:rFonts w:ascii="Arial" w:hAnsi="Arial"/>
                <w:b/>
                <w:color w:val="333333"/>
                <w:sz w:val="28"/>
              </w:rPr>
              <w:t>de</w:t>
            </w:r>
            <w:r>
              <w:rPr>
                <w:rFonts w:ascii="Arial" w:hAnsi="Arial"/>
                <w:b/>
                <w:color w:val="333333"/>
                <w:spacing w:val="-7"/>
                <w:sz w:val="28"/>
              </w:rPr>
              <w:t> </w:t>
            </w:r>
            <w:r>
              <w:rPr>
                <w:rFonts w:ascii="Arial" w:hAnsi="Arial"/>
                <w:b/>
                <w:color w:val="333333"/>
                <w:spacing w:val="-2"/>
                <w:sz w:val="28"/>
              </w:rPr>
              <w:t>Imigrantes</w:t>
            </w:r>
          </w:p>
        </w:tc>
      </w:tr>
      <w:tr>
        <w:trPr>
          <w:trHeight w:val="360" w:hRule="atLeast"/>
        </w:trPr>
        <w:tc>
          <w:tcPr>
            <w:tcW w:w="8726" w:type="dxa"/>
            <w:gridSpan w:val="5"/>
            <w:shd w:val="clear" w:color="auto" w:fill="FFE499"/>
          </w:tcPr>
          <w:p>
            <w:pPr>
              <w:pStyle w:val="TableParagraph"/>
              <w:spacing w:before="69"/>
              <w:ind w:left="6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333333"/>
                <w:sz w:val="22"/>
              </w:rPr>
              <w:t>Sociedade</w:t>
            </w:r>
            <w:r>
              <w:rPr>
                <w:rFonts w:ascii="Arial"/>
                <w:b/>
                <w:color w:val="333333"/>
                <w:spacing w:val="-4"/>
                <w:sz w:val="22"/>
              </w:rPr>
              <w:t> Civil</w:t>
            </w:r>
          </w:p>
        </w:tc>
      </w:tr>
      <w:tr>
        <w:trPr>
          <w:trHeight w:val="330" w:hRule="atLeast"/>
        </w:trPr>
        <w:tc>
          <w:tcPr>
            <w:tcW w:w="8726" w:type="dxa"/>
            <w:gridSpan w:val="5"/>
            <w:shd w:val="clear" w:color="auto" w:fill="F4CCCC"/>
          </w:tcPr>
          <w:p>
            <w:pPr>
              <w:pStyle w:val="TableParagraph"/>
              <w:spacing w:before="23"/>
              <w:ind w:left="995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Coletivos,</w:t>
            </w:r>
            <w:r>
              <w:rPr>
                <w:rFonts w:ascii="Arial" w:hAnsi="Arial"/>
                <w:b/>
                <w:spacing w:val="-9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associações</w:t>
            </w:r>
            <w:r>
              <w:rPr>
                <w:rFonts w:ascii="Arial" w:hAnsi="Arial"/>
                <w:b/>
                <w:spacing w:val="-2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ou</w:t>
            </w:r>
            <w:r>
              <w:rPr>
                <w:rFonts w:ascii="Arial" w:hAnsi="Arial"/>
                <w:b/>
                <w:spacing w:val="-4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organizações</w:t>
            </w:r>
            <w:r>
              <w:rPr>
                <w:rFonts w:ascii="Arial" w:hAnsi="Arial"/>
                <w:b/>
                <w:spacing w:val="-2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pacing w:val="-2"/>
                <w:sz w:val="22"/>
              </w:rPr>
              <w:t>imigrantes(Segm.A)</w:t>
            </w:r>
          </w:p>
        </w:tc>
      </w:tr>
      <w:tr>
        <w:trPr>
          <w:trHeight w:val="524" w:hRule="atLeast"/>
        </w:trPr>
        <w:tc>
          <w:tcPr>
            <w:tcW w:w="35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6" w:type="dxa"/>
            <w:shd w:val="clear" w:color="auto" w:fill="F8CA9C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96" w:type="dxa"/>
          </w:tcPr>
          <w:p>
            <w:pPr>
              <w:pStyle w:val="TableParagraph"/>
              <w:spacing w:before="123"/>
              <w:ind w:left="1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SIM</w:t>
            </w:r>
          </w:p>
        </w:tc>
        <w:tc>
          <w:tcPr>
            <w:tcW w:w="1131" w:type="dxa"/>
          </w:tcPr>
          <w:p>
            <w:pPr>
              <w:pStyle w:val="TableParagraph"/>
              <w:spacing w:before="123"/>
              <w:ind w:left="353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pacing w:val="-5"/>
                <w:sz w:val="22"/>
              </w:rPr>
              <w:t>Não</w:t>
            </w:r>
          </w:p>
        </w:tc>
        <w:tc>
          <w:tcPr>
            <w:tcW w:w="1521" w:type="dxa"/>
          </w:tcPr>
          <w:p>
            <w:pPr>
              <w:pStyle w:val="TableParagraph"/>
              <w:spacing w:before="205"/>
              <w:ind w:left="1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Abstenção</w:t>
            </w:r>
          </w:p>
        </w:tc>
      </w:tr>
      <w:tr>
        <w:trPr>
          <w:trHeight w:val="520" w:hRule="atLeast"/>
        </w:trPr>
        <w:tc>
          <w:tcPr>
            <w:tcW w:w="3502" w:type="dxa"/>
          </w:tcPr>
          <w:p>
            <w:pPr>
              <w:pStyle w:val="TableParagraph"/>
              <w:spacing w:before="228"/>
              <w:ind w:left="15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Instituo</w:t>
            </w:r>
            <w:r>
              <w:rPr>
                <w:rFonts w:ascii="Arial MT"/>
                <w:spacing w:val="-4"/>
                <w:sz w:val="22"/>
              </w:rPr>
              <w:t> </w:t>
            </w:r>
            <w:r>
              <w:rPr>
                <w:rFonts w:ascii="Arial MT"/>
                <w:sz w:val="22"/>
              </w:rPr>
              <w:t>Batista-</w:t>
            </w:r>
            <w:r>
              <w:rPr>
                <w:rFonts w:ascii="Arial MT"/>
                <w:spacing w:val="-2"/>
                <w:sz w:val="22"/>
              </w:rPr>
              <w:t> </w:t>
            </w:r>
            <w:r>
              <w:rPr>
                <w:rFonts w:ascii="Arial MT"/>
                <w:sz w:val="22"/>
              </w:rPr>
              <w:t>Pastor</w:t>
            </w:r>
            <w:r>
              <w:rPr>
                <w:rFonts w:ascii="Arial MT"/>
                <w:spacing w:val="-2"/>
                <w:sz w:val="22"/>
              </w:rPr>
              <w:t> </w:t>
            </w:r>
            <w:r>
              <w:rPr>
                <w:rFonts w:ascii="Arial MT"/>
                <w:spacing w:val="-4"/>
                <w:sz w:val="22"/>
              </w:rPr>
              <w:t>Fritz</w:t>
            </w:r>
          </w:p>
        </w:tc>
        <w:tc>
          <w:tcPr>
            <w:tcW w:w="1276" w:type="dxa"/>
            <w:shd w:val="clear" w:color="auto" w:fill="F8CA9C"/>
          </w:tcPr>
          <w:p>
            <w:pPr>
              <w:pStyle w:val="TableParagraph"/>
              <w:spacing w:before="119"/>
              <w:ind w:left="14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Titular</w:t>
            </w:r>
          </w:p>
        </w:tc>
        <w:tc>
          <w:tcPr>
            <w:tcW w:w="129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1" w:type="dxa"/>
          </w:tcPr>
          <w:p>
            <w:pPr>
              <w:pStyle w:val="TableParagraph"/>
              <w:spacing w:before="119"/>
              <w:ind w:left="1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x</w:t>
            </w:r>
          </w:p>
        </w:tc>
        <w:tc>
          <w:tcPr>
            <w:tcW w:w="152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25" w:hRule="atLeast"/>
        </w:trPr>
        <w:tc>
          <w:tcPr>
            <w:tcW w:w="3502" w:type="dxa"/>
          </w:tcPr>
          <w:p>
            <w:pPr>
              <w:pStyle w:val="TableParagraph"/>
              <w:spacing w:before="234"/>
              <w:ind w:left="15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Coletivo</w:t>
            </w:r>
            <w:r>
              <w:rPr>
                <w:rFonts w:ascii="Arial MT"/>
                <w:spacing w:val="-2"/>
                <w:sz w:val="22"/>
              </w:rPr>
              <w:t> </w:t>
            </w:r>
            <w:r>
              <w:rPr>
                <w:rFonts w:ascii="Arial MT"/>
                <w:sz w:val="22"/>
              </w:rPr>
              <w:t>A</w:t>
            </w:r>
            <w:r>
              <w:rPr>
                <w:rFonts w:ascii="Arial MT"/>
                <w:spacing w:val="-3"/>
                <w:sz w:val="22"/>
              </w:rPr>
              <w:t> </w:t>
            </w:r>
            <w:r>
              <w:rPr>
                <w:rFonts w:ascii="Arial MT"/>
                <w:sz w:val="22"/>
              </w:rPr>
              <w:t>Voz</w:t>
            </w:r>
            <w:r>
              <w:rPr>
                <w:rFonts w:ascii="Arial MT"/>
                <w:spacing w:val="-2"/>
                <w:sz w:val="22"/>
              </w:rPr>
              <w:t> </w:t>
            </w:r>
            <w:r>
              <w:rPr>
                <w:rFonts w:ascii="Arial MT"/>
                <w:sz w:val="22"/>
              </w:rPr>
              <w:t>do</w:t>
            </w:r>
            <w:r>
              <w:rPr>
                <w:rFonts w:ascii="Arial MT"/>
                <w:spacing w:val="1"/>
                <w:sz w:val="22"/>
              </w:rPr>
              <w:t> </w:t>
            </w:r>
            <w:r>
              <w:rPr>
                <w:rFonts w:ascii="Arial MT"/>
                <w:spacing w:val="-4"/>
                <w:sz w:val="22"/>
              </w:rPr>
              <w:t>Congo</w:t>
            </w:r>
          </w:p>
        </w:tc>
        <w:tc>
          <w:tcPr>
            <w:tcW w:w="1276" w:type="dxa"/>
            <w:shd w:val="clear" w:color="auto" w:fill="F8CA9C"/>
          </w:tcPr>
          <w:p>
            <w:pPr>
              <w:pStyle w:val="TableParagraph"/>
              <w:spacing w:before="124"/>
              <w:ind w:left="14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Suplente</w:t>
            </w:r>
          </w:p>
        </w:tc>
        <w:tc>
          <w:tcPr>
            <w:tcW w:w="1296" w:type="dxa"/>
          </w:tcPr>
          <w:p>
            <w:pPr>
              <w:pStyle w:val="TableParagraph"/>
              <w:spacing w:before="124"/>
              <w:ind w:lef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x</w:t>
            </w:r>
          </w:p>
        </w:tc>
        <w:tc>
          <w:tcPr>
            <w:tcW w:w="11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8726" w:type="dxa"/>
            <w:gridSpan w:val="5"/>
            <w:tcBorders>
              <w:right w:val="nil"/>
            </w:tcBorders>
            <w:shd w:val="clear" w:color="auto" w:fill="D9EAD2"/>
          </w:tcPr>
          <w:p>
            <w:pPr>
              <w:pStyle w:val="TableParagraph"/>
              <w:spacing w:before="28"/>
              <w:ind w:left="1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Segmento</w:t>
            </w:r>
            <w:r>
              <w:rPr>
                <w:rFonts w:ascii="Arial"/>
                <w:b/>
                <w:spacing w:val="2"/>
                <w:sz w:val="22"/>
              </w:rPr>
              <w:t> </w:t>
            </w:r>
            <w:r>
              <w:rPr>
                <w:rFonts w:ascii="Arial"/>
                <w:b/>
                <w:spacing w:val="-12"/>
                <w:sz w:val="22"/>
              </w:rPr>
              <w:t>B</w:t>
            </w:r>
          </w:p>
        </w:tc>
      </w:tr>
      <w:tr>
        <w:trPr>
          <w:trHeight w:val="525" w:hRule="atLeast"/>
        </w:trPr>
        <w:tc>
          <w:tcPr>
            <w:tcW w:w="3502" w:type="dxa"/>
          </w:tcPr>
          <w:p>
            <w:pPr>
              <w:pStyle w:val="TableParagraph"/>
              <w:spacing w:before="123"/>
              <w:ind w:left="15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Cami -</w:t>
            </w:r>
            <w:r>
              <w:rPr>
                <w:rFonts w:ascii="Arial MT"/>
                <w:spacing w:val="2"/>
                <w:sz w:val="22"/>
              </w:rPr>
              <w:t> </w:t>
            </w:r>
            <w:r>
              <w:rPr>
                <w:rFonts w:ascii="Arial MT"/>
                <w:spacing w:val="-4"/>
                <w:sz w:val="22"/>
              </w:rPr>
              <w:t>Nancy</w:t>
            </w:r>
          </w:p>
        </w:tc>
        <w:tc>
          <w:tcPr>
            <w:tcW w:w="1276" w:type="dxa"/>
            <w:shd w:val="clear" w:color="auto" w:fill="F8CA9C"/>
          </w:tcPr>
          <w:p>
            <w:pPr>
              <w:pStyle w:val="TableParagraph"/>
              <w:spacing w:before="123"/>
              <w:ind w:left="14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Titular</w:t>
            </w:r>
          </w:p>
        </w:tc>
        <w:tc>
          <w:tcPr>
            <w:tcW w:w="129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1" w:type="dxa"/>
          </w:tcPr>
          <w:p>
            <w:pPr>
              <w:pStyle w:val="TableParagraph"/>
              <w:spacing w:before="205"/>
              <w:ind w:left="12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x</w:t>
            </w:r>
          </w:p>
        </w:tc>
      </w:tr>
      <w:tr>
        <w:trPr>
          <w:trHeight w:val="525" w:hRule="atLeast"/>
        </w:trPr>
        <w:tc>
          <w:tcPr>
            <w:tcW w:w="3502" w:type="dxa"/>
            <w:tcBorders>
              <w:left w:val="nil"/>
            </w:tcBorders>
          </w:tcPr>
          <w:p>
            <w:pPr>
              <w:pStyle w:val="TableParagraph"/>
              <w:spacing w:before="234"/>
              <w:ind w:left="20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Fernanda</w:t>
            </w:r>
            <w:r>
              <w:rPr>
                <w:rFonts w:ascii="Arial MT"/>
                <w:spacing w:val="-3"/>
                <w:sz w:val="22"/>
              </w:rPr>
              <w:t> </w:t>
            </w:r>
            <w:r>
              <w:rPr>
                <w:rFonts w:ascii="Arial MT"/>
                <w:sz w:val="22"/>
              </w:rPr>
              <w:t>Silva</w:t>
            </w:r>
            <w:r>
              <w:rPr>
                <w:rFonts w:ascii="Arial MT"/>
                <w:spacing w:val="-2"/>
                <w:sz w:val="22"/>
              </w:rPr>
              <w:t> </w:t>
            </w:r>
            <w:r>
              <w:rPr>
                <w:rFonts w:ascii="Arial MT"/>
                <w:sz w:val="22"/>
              </w:rPr>
              <w:t>de</w:t>
            </w:r>
            <w:r>
              <w:rPr>
                <w:rFonts w:ascii="Arial MT"/>
                <w:spacing w:val="-2"/>
                <w:sz w:val="22"/>
              </w:rPr>
              <w:t> Morais</w:t>
            </w:r>
          </w:p>
        </w:tc>
        <w:tc>
          <w:tcPr>
            <w:tcW w:w="1276" w:type="dxa"/>
            <w:shd w:val="clear" w:color="auto" w:fill="F8CA9C"/>
          </w:tcPr>
          <w:p>
            <w:pPr>
              <w:pStyle w:val="TableParagraph"/>
              <w:spacing w:before="123"/>
              <w:ind w:left="14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Titular</w:t>
            </w:r>
          </w:p>
        </w:tc>
        <w:tc>
          <w:tcPr>
            <w:tcW w:w="129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1" w:type="dxa"/>
          </w:tcPr>
          <w:p>
            <w:pPr>
              <w:pStyle w:val="TableParagraph"/>
              <w:spacing w:before="205"/>
              <w:ind w:left="12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x</w:t>
            </w:r>
          </w:p>
        </w:tc>
      </w:tr>
      <w:tr>
        <w:trPr>
          <w:trHeight w:val="329" w:hRule="atLeast"/>
        </w:trPr>
        <w:tc>
          <w:tcPr>
            <w:tcW w:w="8726" w:type="dxa"/>
            <w:gridSpan w:val="5"/>
            <w:tcBorders>
              <w:right w:val="nil"/>
            </w:tcBorders>
            <w:shd w:val="clear" w:color="auto" w:fill="D0DFE2"/>
          </w:tcPr>
          <w:p>
            <w:pPr>
              <w:pStyle w:val="TableParagraph"/>
              <w:spacing w:before="23"/>
              <w:ind w:left="15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Pessoas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Físicas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Imigrantes</w:t>
            </w:r>
            <w:r>
              <w:rPr>
                <w:rFonts w:ascii="Arial" w:hAnsi="Arial"/>
                <w:b/>
                <w:spacing w:val="-2"/>
                <w:sz w:val="22"/>
              </w:rPr>
              <w:t> (Segm.C)</w:t>
            </w:r>
          </w:p>
        </w:tc>
      </w:tr>
    </w:tbl>
    <w:p>
      <w:pPr>
        <w:pStyle w:val="TableParagraph"/>
        <w:spacing w:after="0"/>
        <w:rPr>
          <w:rFonts w:ascii="Arial" w:hAnsi="Arial"/>
          <w:b/>
          <w:sz w:val="22"/>
        </w:rPr>
        <w:sectPr>
          <w:pgSz w:w="11910" w:h="16840"/>
          <w:pgMar w:top="1340" w:bottom="1571" w:left="1133" w:right="1700"/>
        </w:sectPr>
      </w:pPr>
    </w:p>
    <w:tbl>
      <w:tblPr>
        <w:tblW w:w="0" w:type="auto"/>
        <w:jc w:val="left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02"/>
        <w:gridCol w:w="1276"/>
        <w:gridCol w:w="1296"/>
        <w:gridCol w:w="1131"/>
        <w:gridCol w:w="1521"/>
      </w:tblGrid>
      <w:tr>
        <w:trPr>
          <w:trHeight w:val="525" w:hRule="atLeast"/>
        </w:trPr>
        <w:tc>
          <w:tcPr>
            <w:tcW w:w="3502" w:type="dxa"/>
          </w:tcPr>
          <w:p>
            <w:pPr>
              <w:pStyle w:val="TableParagraph"/>
              <w:spacing w:before="233"/>
              <w:ind w:left="15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Wendy</w:t>
            </w:r>
          </w:p>
        </w:tc>
        <w:tc>
          <w:tcPr>
            <w:tcW w:w="1276" w:type="dxa"/>
            <w:shd w:val="clear" w:color="auto" w:fill="F8CA9C"/>
          </w:tcPr>
          <w:p>
            <w:pPr>
              <w:pStyle w:val="TableParagraph"/>
              <w:spacing w:before="123"/>
              <w:ind w:left="14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Titular</w:t>
            </w:r>
          </w:p>
        </w:tc>
        <w:tc>
          <w:tcPr>
            <w:tcW w:w="129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1" w:type="dxa"/>
          </w:tcPr>
          <w:p>
            <w:pPr>
              <w:pStyle w:val="TableParagraph"/>
              <w:spacing w:before="233"/>
              <w:ind w:left="1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x</w:t>
            </w:r>
          </w:p>
        </w:tc>
        <w:tc>
          <w:tcPr>
            <w:tcW w:w="152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25" w:hRule="atLeast"/>
        </w:trPr>
        <w:tc>
          <w:tcPr>
            <w:tcW w:w="3502" w:type="dxa"/>
          </w:tcPr>
          <w:p>
            <w:pPr>
              <w:pStyle w:val="TableParagraph"/>
              <w:spacing w:before="233"/>
              <w:ind w:left="15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Constance</w:t>
            </w:r>
          </w:p>
        </w:tc>
        <w:tc>
          <w:tcPr>
            <w:tcW w:w="1276" w:type="dxa"/>
            <w:shd w:val="clear" w:color="auto" w:fill="F8CA9C"/>
          </w:tcPr>
          <w:p>
            <w:pPr>
              <w:pStyle w:val="TableParagraph"/>
              <w:spacing w:before="123"/>
              <w:ind w:left="14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Titular</w:t>
            </w:r>
          </w:p>
        </w:tc>
        <w:tc>
          <w:tcPr>
            <w:tcW w:w="129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1" w:type="dxa"/>
          </w:tcPr>
          <w:p>
            <w:pPr>
              <w:pStyle w:val="TableParagraph"/>
              <w:spacing w:before="233"/>
              <w:ind w:left="1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x</w:t>
            </w:r>
          </w:p>
        </w:tc>
        <w:tc>
          <w:tcPr>
            <w:tcW w:w="152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25" w:hRule="atLeast"/>
        </w:trPr>
        <w:tc>
          <w:tcPr>
            <w:tcW w:w="3502" w:type="dxa"/>
          </w:tcPr>
          <w:p>
            <w:pPr>
              <w:pStyle w:val="TableParagraph"/>
              <w:spacing w:before="234"/>
              <w:ind w:left="15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Mayekin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pacing w:val="-2"/>
                <w:sz w:val="22"/>
              </w:rPr>
              <w:t>Mercedez</w:t>
            </w:r>
          </w:p>
        </w:tc>
        <w:tc>
          <w:tcPr>
            <w:tcW w:w="1276" w:type="dxa"/>
            <w:shd w:val="clear" w:color="auto" w:fill="FFE0CC"/>
          </w:tcPr>
          <w:p>
            <w:pPr>
              <w:pStyle w:val="TableParagraph"/>
              <w:spacing w:before="110"/>
              <w:ind w:left="14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Suplente</w:t>
            </w:r>
          </w:p>
        </w:tc>
        <w:tc>
          <w:tcPr>
            <w:tcW w:w="129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1" w:type="dxa"/>
          </w:tcPr>
          <w:p>
            <w:pPr>
              <w:pStyle w:val="TableParagraph"/>
              <w:spacing w:before="234"/>
              <w:ind w:left="1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x</w:t>
            </w:r>
          </w:p>
        </w:tc>
        <w:tc>
          <w:tcPr>
            <w:tcW w:w="152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8726" w:type="dxa"/>
            <w:gridSpan w:val="5"/>
            <w:tcBorders>
              <w:right w:val="nil"/>
            </w:tcBorders>
            <w:shd w:val="clear" w:color="auto" w:fill="FFD966"/>
          </w:tcPr>
          <w:p>
            <w:pPr>
              <w:pStyle w:val="TableParagraph"/>
              <w:spacing w:before="68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Poder</w:t>
            </w:r>
            <w:r>
              <w:rPr>
                <w:rFonts w:ascii="Arial" w:hAnsi="Arial"/>
                <w:b/>
                <w:spacing w:val="-2"/>
                <w:sz w:val="22"/>
              </w:rPr>
              <w:t> Público</w:t>
            </w:r>
          </w:p>
        </w:tc>
      </w:tr>
      <w:tr>
        <w:trPr>
          <w:trHeight w:val="520" w:hRule="atLeast"/>
        </w:trPr>
        <w:tc>
          <w:tcPr>
            <w:tcW w:w="3502" w:type="dxa"/>
          </w:tcPr>
          <w:p>
            <w:pPr>
              <w:pStyle w:val="TableParagraph"/>
              <w:spacing w:before="205"/>
              <w:ind w:left="15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Mona </w:t>
            </w:r>
            <w:r>
              <w:rPr>
                <w:rFonts w:ascii="Arial MT"/>
                <w:spacing w:val="-2"/>
                <w:sz w:val="24"/>
              </w:rPr>
              <w:t>Perlingeiro</w:t>
            </w:r>
          </w:p>
        </w:tc>
        <w:tc>
          <w:tcPr>
            <w:tcW w:w="1276" w:type="dxa"/>
            <w:shd w:val="clear" w:color="auto" w:fill="00FFFF"/>
          </w:tcPr>
          <w:p>
            <w:pPr>
              <w:pStyle w:val="TableParagraph"/>
              <w:spacing w:before="118"/>
              <w:ind w:left="14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Titular</w:t>
            </w:r>
          </w:p>
        </w:tc>
        <w:tc>
          <w:tcPr>
            <w:tcW w:w="129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1" w:type="dxa"/>
          </w:tcPr>
          <w:p>
            <w:pPr>
              <w:pStyle w:val="TableParagraph"/>
              <w:spacing w:before="205"/>
              <w:ind w:left="12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x</w:t>
            </w:r>
          </w:p>
        </w:tc>
      </w:tr>
      <w:tr>
        <w:trPr>
          <w:trHeight w:val="525" w:hRule="atLeast"/>
        </w:trPr>
        <w:tc>
          <w:tcPr>
            <w:tcW w:w="3502" w:type="dxa"/>
          </w:tcPr>
          <w:p>
            <w:pPr>
              <w:pStyle w:val="TableParagraph"/>
              <w:spacing w:before="210"/>
              <w:ind w:left="15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Gulhereme</w:t>
            </w:r>
            <w:r>
              <w:rPr>
                <w:rFonts w:ascii="Arial MT"/>
                <w:spacing w:val="-5"/>
                <w:sz w:val="24"/>
              </w:rPr>
              <w:t> </w:t>
            </w:r>
            <w:r>
              <w:rPr>
                <w:rFonts w:ascii="Arial MT"/>
                <w:spacing w:val="-2"/>
                <w:sz w:val="24"/>
              </w:rPr>
              <w:t>Roncoletta</w:t>
            </w:r>
          </w:p>
        </w:tc>
        <w:tc>
          <w:tcPr>
            <w:tcW w:w="1276" w:type="dxa"/>
            <w:shd w:val="clear" w:color="auto" w:fill="00FFFF"/>
          </w:tcPr>
          <w:p>
            <w:pPr>
              <w:pStyle w:val="TableParagraph"/>
              <w:spacing w:before="124"/>
              <w:ind w:left="14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Titular</w:t>
            </w:r>
          </w:p>
        </w:tc>
        <w:tc>
          <w:tcPr>
            <w:tcW w:w="129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1" w:type="dxa"/>
          </w:tcPr>
          <w:p>
            <w:pPr>
              <w:pStyle w:val="TableParagraph"/>
              <w:spacing w:before="210"/>
              <w:ind w:left="12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x</w:t>
            </w:r>
          </w:p>
        </w:tc>
      </w:tr>
      <w:tr>
        <w:trPr>
          <w:trHeight w:val="525" w:hRule="atLeast"/>
        </w:trPr>
        <w:tc>
          <w:tcPr>
            <w:tcW w:w="3502" w:type="dxa"/>
          </w:tcPr>
          <w:p>
            <w:pPr>
              <w:pStyle w:val="TableParagraph"/>
              <w:spacing w:before="210"/>
              <w:ind w:left="15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Fernanda</w:t>
            </w:r>
            <w:r>
              <w:rPr>
                <w:rFonts w:ascii="Arial MT"/>
                <w:spacing w:val="-2"/>
                <w:sz w:val="24"/>
              </w:rPr>
              <w:t> </w:t>
            </w:r>
            <w:r>
              <w:rPr>
                <w:rFonts w:ascii="Arial MT"/>
                <w:sz w:val="24"/>
              </w:rPr>
              <w:t>Lanes</w:t>
            </w:r>
            <w:r>
              <w:rPr>
                <w:rFonts w:ascii="Arial MT"/>
                <w:spacing w:val="-2"/>
                <w:sz w:val="24"/>
              </w:rPr>
              <w:t> </w:t>
            </w:r>
            <w:r>
              <w:rPr>
                <w:rFonts w:ascii="Arial MT"/>
                <w:sz w:val="24"/>
              </w:rPr>
              <w:t>Aguiar</w:t>
            </w:r>
            <w:r>
              <w:rPr>
                <w:rFonts w:ascii="Arial MT"/>
                <w:spacing w:val="-2"/>
                <w:sz w:val="24"/>
              </w:rPr>
              <w:t> </w:t>
            </w:r>
            <w:r>
              <w:rPr>
                <w:rFonts w:ascii="Arial MT"/>
                <w:spacing w:val="-4"/>
                <w:sz w:val="24"/>
              </w:rPr>
              <w:t>Cezar</w:t>
            </w:r>
          </w:p>
        </w:tc>
        <w:tc>
          <w:tcPr>
            <w:tcW w:w="1276" w:type="dxa"/>
            <w:shd w:val="clear" w:color="auto" w:fill="00FFFF"/>
          </w:tcPr>
          <w:p>
            <w:pPr>
              <w:pStyle w:val="TableParagraph"/>
              <w:spacing w:before="123"/>
              <w:ind w:left="14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Titular</w:t>
            </w:r>
          </w:p>
        </w:tc>
        <w:tc>
          <w:tcPr>
            <w:tcW w:w="129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1" w:type="dxa"/>
          </w:tcPr>
          <w:p>
            <w:pPr>
              <w:pStyle w:val="TableParagraph"/>
              <w:spacing w:before="210"/>
              <w:ind w:left="12"/>
              <w:rPr>
                <w:rFonts w:ascii="Arial MT"/>
                <w:sz w:val="24"/>
              </w:rPr>
            </w:pPr>
            <w:r>
              <w:rPr>
                <w:rFonts w:ascii="Arial MT"/>
                <w:spacing w:val="-10"/>
                <w:sz w:val="24"/>
              </w:rPr>
              <w:t>x</w:t>
            </w:r>
          </w:p>
        </w:tc>
      </w:tr>
      <w:tr>
        <w:trPr>
          <w:trHeight w:val="525" w:hRule="atLeast"/>
        </w:trPr>
        <w:tc>
          <w:tcPr>
            <w:tcW w:w="3502" w:type="dxa"/>
            <w:shd w:val="clear" w:color="auto" w:fill="F3F3F3"/>
          </w:tcPr>
          <w:p>
            <w:pPr>
              <w:pStyle w:val="TableParagraph"/>
              <w:spacing w:before="123"/>
              <w:ind w:left="1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SMADS-</w:t>
            </w:r>
          </w:p>
        </w:tc>
        <w:tc>
          <w:tcPr>
            <w:tcW w:w="1276" w:type="dxa"/>
            <w:shd w:val="clear" w:color="auto" w:fill="00FFFF"/>
          </w:tcPr>
          <w:p>
            <w:pPr>
              <w:pStyle w:val="TableParagraph"/>
              <w:spacing w:before="123"/>
              <w:ind w:left="14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Titular</w:t>
            </w:r>
          </w:p>
        </w:tc>
        <w:tc>
          <w:tcPr>
            <w:tcW w:w="129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25" w:hRule="atLeast"/>
        </w:trPr>
        <w:tc>
          <w:tcPr>
            <w:tcW w:w="3502" w:type="dxa"/>
          </w:tcPr>
          <w:p>
            <w:pPr>
              <w:pStyle w:val="TableParagraph"/>
              <w:spacing w:before="229"/>
              <w:ind w:left="15"/>
              <w:rPr>
                <w:rFonts w:ascii="Arial MT"/>
                <w:sz w:val="22"/>
              </w:rPr>
            </w:pPr>
            <w:r>
              <w:rPr>
                <w:rFonts w:ascii="Arial"/>
                <w:b/>
                <w:sz w:val="22"/>
              </w:rPr>
              <w:t>SME</w:t>
            </w:r>
            <w:r>
              <w:rPr>
                <w:rFonts w:ascii="Arial"/>
                <w:b/>
                <w:spacing w:val="-4"/>
                <w:sz w:val="22"/>
              </w:rPr>
              <w:t> </w:t>
            </w:r>
            <w:r>
              <w:rPr>
                <w:rFonts w:ascii="Arial MT"/>
                <w:spacing w:val="-10"/>
                <w:sz w:val="22"/>
              </w:rPr>
              <w:t>-</w:t>
            </w:r>
          </w:p>
        </w:tc>
        <w:tc>
          <w:tcPr>
            <w:tcW w:w="1276" w:type="dxa"/>
            <w:shd w:val="clear" w:color="auto" w:fill="00FFFF"/>
          </w:tcPr>
          <w:p>
            <w:pPr>
              <w:pStyle w:val="TableParagraph"/>
              <w:spacing w:before="123"/>
              <w:ind w:left="14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Suplente</w:t>
            </w:r>
          </w:p>
        </w:tc>
        <w:tc>
          <w:tcPr>
            <w:tcW w:w="129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20" w:hRule="atLeast"/>
        </w:trPr>
        <w:tc>
          <w:tcPr>
            <w:tcW w:w="3502" w:type="dxa"/>
          </w:tcPr>
          <w:p>
            <w:pPr>
              <w:pStyle w:val="TableParagraph"/>
              <w:spacing w:before="228"/>
              <w:ind w:left="15"/>
              <w:rPr>
                <w:rFonts w:ascii="Arial MT"/>
                <w:sz w:val="22"/>
              </w:rPr>
            </w:pPr>
            <w:r>
              <w:rPr>
                <w:rFonts w:ascii="Arial"/>
                <w:b/>
                <w:sz w:val="22"/>
              </w:rPr>
              <w:t>SEHAB</w:t>
            </w:r>
            <w:r>
              <w:rPr>
                <w:rFonts w:ascii="Arial"/>
                <w:b/>
                <w:spacing w:val="-5"/>
                <w:sz w:val="22"/>
              </w:rPr>
              <w:t> </w:t>
            </w:r>
            <w:r>
              <w:rPr>
                <w:rFonts w:ascii="Arial MT"/>
                <w:spacing w:val="-10"/>
                <w:sz w:val="22"/>
              </w:rPr>
              <w:t>-</w:t>
            </w:r>
          </w:p>
        </w:tc>
        <w:tc>
          <w:tcPr>
            <w:tcW w:w="1276" w:type="dxa"/>
            <w:shd w:val="clear" w:color="auto" w:fill="00FFFF"/>
          </w:tcPr>
          <w:p>
            <w:pPr>
              <w:pStyle w:val="TableParagraph"/>
              <w:spacing w:before="118"/>
              <w:ind w:left="14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Titular</w:t>
            </w:r>
          </w:p>
        </w:tc>
        <w:tc>
          <w:tcPr>
            <w:tcW w:w="129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25" w:hRule="atLeast"/>
        </w:trPr>
        <w:tc>
          <w:tcPr>
            <w:tcW w:w="3502" w:type="dxa"/>
          </w:tcPr>
          <w:p>
            <w:pPr>
              <w:pStyle w:val="TableParagraph"/>
              <w:spacing w:before="233"/>
              <w:ind w:left="15"/>
              <w:rPr>
                <w:rFonts w:ascii="Arial MT" w:hAnsi="Arial MT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SMS</w:t>
            </w:r>
            <w:r>
              <w:rPr>
                <w:rFonts w:ascii="Arial" w:hAnsi="Arial"/>
                <w:b/>
                <w:spacing w:val="-4"/>
                <w:sz w:val="22"/>
              </w:rPr>
              <w:t> </w:t>
            </w:r>
            <w:r>
              <w:rPr>
                <w:rFonts w:ascii="Arial MT" w:hAnsi="Arial MT"/>
                <w:spacing w:val="-10"/>
                <w:sz w:val="22"/>
              </w:rPr>
              <w:t>–</w:t>
            </w:r>
          </w:p>
        </w:tc>
        <w:tc>
          <w:tcPr>
            <w:tcW w:w="1276" w:type="dxa"/>
            <w:shd w:val="clear" w:color="auto" w:fill="00FFFF"/>
          </w:tcPr>
          <w:p>
            <w:pPr>
              <w:pStyle w:val="TableParagraph"/>
              <w:spacing w:before="123"/>
              <w:ind w:left="14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Titular</w:t>
            </w:r>
          </w:p>
        </w:tc>
        <w:tc>
          <w:tcPr>
            <w:tcW w:w="129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22" w:hRule="atLeast"/>
        </w:trPr>
        <w:tc>
          <w:tcPr>
            <w:tcW w:w="350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33"/>
              <w:ind w:left="1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SMSUB</w:t>
            </w:r>
            <w:r>
              <w:rPr>
                <w:rFonts w:ascii="Arial"/>
                <w:b/>
                <w:spacing w:val="-2"/>
                <w:sz w:val="22"/>
              </w:rPr>
              <w:t> </w:t>
            </w:r>
            <w:r>
              <w:rPr>
                <w:rFonts w:ascii="Arial"/>
                <w:b/>
                <w:spacing w:val="-10"/>
                <w:sz w:val="22"/>
              </w:rPr>
              <w:t>-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  <w:shd w:val="clear" w:color="auto" w:fill="00FFFF"/>
          </w:tcPr>
          <w:p>
            <w:pPr>
              <w:pStyle w:val="TableParagraph"/>
              <w:spacing w:before="123"/>
              <w:ind w:left="14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Suplente</w:t>
            </w: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1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21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22" w:hRule="atLeast"/>
        </w:trPr>
        <w:tc>
          <w:tcPr>
            <w:tcW w:w="350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85"/>
              <w:ind w:left="11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2"/>
                <w:sz w:val="28"/>
              </w:rPr>
              <w:t>Total</w:t>
            </w:r>
          </w:p>
        </w:tc>
        <w:tc>
          <w:tcPr>
            <w:tcW w:w="1276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9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3"/>
              <w:ind w:left="1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13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85"/>
              <w:ind w:left="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4</w:t>
            </w:r>
          </w:p>
        </w:tc>
        <w:tc>
          <w:tcPr>
            <w:tcW w:w="152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85"/>
              <w:ind w:left="1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5</w:t>
            </w:r>
          </w:p>
        </w:tc>
      </w:tr>
    </w:tbl>
    <w:p>
      <w:pPr>
        <w:pStyle w:val="BodyText"/>
        <w:spacing w:before="255"/>
        <w:ind w:left="0"/>
      </w:pPr>
    </w:p>
    <w:p>
      <w:pPr>
        <w:pStyle w:val="BodyText"/>
        <w:spacing w:line="276" w:lineRule="auto"/>
        <w:ind w:right="214" w:firstLine="710"/>
        <w:jc w:val="both"/>
      </w:pPr>
      <w:r>
        <w:rPr/>
        <w:t>Aberto espaço para manifestações dos conselheiros, diversos membros destacaram a importância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respeito</w:t>
      </w:r>
      <w:r>
        <w:rPr>
          <w:spacing w:val="-2"/>
        </w:rPr>
        <w:t> </w:t>
      </w:r>
      <w:r>
        <w:rPr/>
        <w:t>mútuo,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preservação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caráter</w:t>
      </w:r>
      <w:r>
        <w:rPr>
          <w:spacing w:val="-3"/>
        </w:rPr>
        <w:t> </w:t>
      </w:r>
      <w:r>
        <w:rPr/>
        <w:t>coletivo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Conselho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necessidade de priorizar debates relacionados às políticas públicas migratórias. Também foi reiterada a importância da elaboração de um Código de Conduta e Ética para orientar futuras situações semelhantes. Não apenas, foram abordadas reflexões sobre o cuidado com a saúde mental das lideranças comunitárias e sobre o reconhecimento institucional de seu trabalho.</w:t>
      </w:r>
    </w:p>
    <w:p>
      <w:pPr>
        <w:pStyle w:val="BodyText"/>
        <w:spacing w:line="276" w:lineRule="auto" w:before="203"/>
        <w:ind w:right="203" w:firstLine="710"/>
        <w:jc w:val="both"/>
      </w:pPr>
      <w:r>
        <w:rPr/>
        <w:t>Dando continuidade à reunião, na </w:t>
      </w:r>
      <w:r>
        <w:rPr>
          <w:b/>
        </w:rPr>
        <w:t>Pauta 2 </w:t>
      </w:r>
      <w:r>
        <w:rPr/>
        <w:t>o conselheiro Wendy Ledix apresentou uma proposta relacionada à exigência de comprovação de proficiência em língua portuguesa para fins de naturalização. Com base em estudos e pesquisas desenvolvidas junto à comunidade migrante, argumentou que a exigência representa barreira significativa para determinados grupos, especialmente</w:t>
      </w:r>
      <w:r>
        <w:rPr>
          <w:spacing w:val="-12"/>
        </w:rPr>
        <w:t> </w:t>
      </w:r>
      <w:r>
        <w:rPr/>
        <w:t>pessoas</w:t>
      </w:r>
      <w:r>
        <w:rPr>
          <w:spacing w:val="-13"/>
        </w:rPr>
        <w:t> </w:t>
      </w:r>
      <w:r>
        <w:rPr/>
        <w:t>idosas,</w:t>
      </w:r>
      <w:r>
        <w:rPr>
          <w:spacing w:val="-11"/>
        </w:rPr>
        <w:t> </w:t>
      </w:r>
      <w:r>
        <w:rPr/>
        <w:t>pessoas</w:t>
      </w:r>
      <w:r>
        <w:rPr>
          <w:spacing w:val="-13"/>
        </w:rPr>
        <w:t> </w:t>
      </w:r>
      <w:r>
        <w:rPr/>
        <w:t>com</w:t>
      </w:r>
      <w:r>
        <w:rPr>
          <w:spacing w:val="-12"/>
        </w:rPr>
        <w:t> </w:t>
      </w:r>
      <w:r>
        <w:rPr/>
        <w:t>deficiência</w:t>
      </w:r>
      <w:r>
        <w:rPr>
          <w:spacing w:val="-12"/>
        </w:rPr>
        <w:t> </w:t>
      </w:r>
      <w:r>
        <w:rPr/>
        <w:t>e</w:t>
      </w:r>
      <w:r>
        <w:rPr>
          <w:spacing w:val="-11"/>
        </w:rPr>
        <w:t> </w:t>
      </w:r>
      <w:r>
        <w:rPr/>
        <w:t>indivíduos</w:t>
      </w:r>
      <w:r>
        <w:rPr>
          <w:spacing w:val="-12"/>
        </w:rPr>
        <w:t> </w:t>
      </w:r>
      <w:r>
        <w:rPr/>
        <w:t>em</w:t>
      </w:r>
      <w:r>
        <w:rPr>
          <w:spacing w:val="-12"/>
        </w:rPr>
        <w:t> </w:t>
      </w:r>
      <w:r>
        <w:rPr/>
        <w:t>situação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analfabetismo. Propôs a construção de uma ação articulada visando discutir a revisão desse requisito.</w:t>
      </w:r>
    </w:p>
    <w:p>
      <w:pPr>
        <w:pStyle w:val="BodyText"/>
        <w:spacing w:line="276" w:lineRule="auto" w:before="203"/>
        <w:ind w:right="203" w:firstLine="710"/>
        <w:jc w:val="both"/>
      </w:pPr>
      <w:r>
        <w:rPr/>
        <w:t>Durante o debate, diversos conselheiros manifestaram apoio à pauta. A Presidência e a Secretaria</w:t>
      </w:r>
      <w:r>
        <w:rPr>
          <w:spacing w:val="-12"/>
        </w:rPr>
        <w:t> </w:t>
      </w:r>
      <w:r>
        <w:rPr/>
        <w:t>Executiva</w:t>
      </w:r>
      <w:r>
        <w:rPr>
          <w:spacing w:val="-12"/>
        </w:rPr>
        <w:t> </w:t>
      </w:r>
      <w:r>
        <w:rPr/>
        <w:t>destacaram</w:t>
      </w:r>
      <w:r>
        <w:rPr>
          <w:spacing w:val="-12"/>
        </w:rPr>
        <w:t> </w:t>
      </w:r>
      <w:r>
        <w:rPr/>
        <w:t>a</w:t>
      </w:r>
      <w:r>
        <w:rPr>
          <w:spacing w:val="-7"/>
        </w:rPr>
        <w:t> </w:t>
      </w:r>
      <w:r>
        <w:rPr/>
        <w:t>relevância</w:t>
      </w:r>
      <w:r>
        <w:rPr>
          <w:spacing w:val="-12"/>
        </w:rPr>
        <w:t> </w:t>
      </w:r>
      <w:r>
        <w:rPr/>
        <w:t>do</w:t>
      </w:r>
      <w:r>
        <w:rPr>
          <w:spacing w:val="-13"/>
        </w:rPr>
        <w:t> </w:t>
      </w:r>
      <w:r>
        <w:rPr/>
        <w:t>tema,</w:t>
      </w:r>
      <w:r>
        <w:rPr>
          <w:spacing w:val="-5"/>
        </w:rPr>
        <w:t> </w:t>
      </w:r>
      <w:r>
        <w:rPr/>
        <w:t>esclarecendo,</w:t>
      </w:r>
      <w:r>
        <w:rPr>
          <w:spacing w:val="-11"/>
        </w:rPr>
        <w:t> </w:t>
      </w:r>
      <w:r>
        <w:rPr/>
        <w:t>contudo,</w:t>
      </w:r>
      <w:r>
        <w:rPr>
          <w:spacing w:val="-11"/>
        </w:rPr>
        <w:t> </w:t>
      </w:r>
      <w:r>
        <w:rPr/>
        <w:t>que</w:t>
      </w:r>
      <w:r>
        <w:rPr>
          <w:spacing w:val="-6"/>
        </w:rPr>
        <w:t> </w:t>
      </w:r>
      <w:r>
        <w:rPr/>
        <w:t>o</w:t>
      </w:r>
      <w:r>
        <w:rPr>
          <w:spacing w:val="-12"/>
        </w:rPr>
        <w:t> </w:t>
      </w:r>
      <w:r>
        <w:rPr/>
        <w:t>Conselho</w:t>
      </w:r>
      <w:r>
        <w:rPr>
          <w:spacing w:val="-8"/>
        </w:rPr>
        <w:t> </w:t>
      </w:r>
      <w:r>
        <w:rPr/>
        <w:t>não possui personalidade jurídica para atuar diretamente como parte em ações judiciais. Porém, a Presidência e a Secretaria Executiva se comprometerem a levar o tema para deliberação da Assessoria</w:t>
      </w:r>
      <w:r>
        <w:rPr>
          <w:spacing w:val="-7"/>
        </w:rPr>
        <w:t> </w:t>
      </w:r>
      <w:r>
        <w:rPr/>
        <w:t>Técnica</w:t>
      </w:r>
      <w:r>
        <w:rPr>
          <w:spacing w:val="-7"/>
        </w:rPr>
        <w:t> </w:t>
      </w:r>
      <w:r>
        <w:rPr/>
        <w:t>Jurídica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Secretaria</w:t>
      </w:r>
      <w:r>
        <w:rPr>
          <w:spacing w:val="-7"/>
        </w:rPr>
        <w:t> </w:t>
      </w:r>
      <w:r>
        <w:rPr/>
        <w:t>Municipal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Direitos</w:t>
      </w:r>
      <w:r>
        <w:rPr>
          <w:spacing w:val="-7"/>
        </w:rPr>
        <w:t> </w:t>
      </w:r>
      <w:r>
        <w:rPr/>
        <w:t>Humanos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/>
        <w:t>Cidadania</w:t>
      </w:r>
      <w:r>
        <w:rPr>
          <w:spacing w:val="-7"/>
        </w:rPr>
        <w:t> </w:t>
      </w:r>
      <w:r>
        <w:rPr/>
        <w:t>para</w:t>
      </w:r>
      <w:r>
        <w:rPr>
          <w:spacing w:val="-2"/>
        </w:rPr>
        <w:t> </w:t>
      </w:r>
      <w:r>
        <w:rPr/>
        <w:t>verificar a</w:t>
      </w:r>
      <w:r>
        <w:rPr>
          <w:spacing w:val="-9"/>
        </w:rPr>
        <w:t> </w:t>
      </w:r>
      <w:r>
        <w:rPr/>
        <w:t>viabilidade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</w:t>
      </w:r>
      <w:r>
        <w:rPr>
          <w:spacing w:val="-9"/>
        </w:rPr>
        <w:t> </w:t>
      </w:r>
      <w:r>
        <w:rPr/>
        <w:t>Conselho</w:t>
      </w:r>
      <w:r>
        <w:rPr>
          <w:spacing w:val="-9"/>
        </w:rPr>
        <w:t> </w:t>
      </w:r>
      <w:r>
        <w:rPr/>
        <w:t>Municipal</w:t>
      </w:r>
      <w:r>
        <w:rPr>
          <w:spacing w:val="-9"/>
        </w:rPr>
        <w:t> </w:t>
      </w:r>
      <w:r>
        <w:rPr/>
        <w:t>dos</w:t>
      </w:r>
      <w:r>
        <w:rPr>
          <w:spacing w:val="-7"/>
        </w:rPr>
        <w:t> </w:t>
      </w:r>
      <w:r>
        <w:rPr/>
        <w:t>Imigrantes</w:t>
      </w:r>
      <w:r>
        <w:rPr>
          <w:spacing w:val="-9"/>
        </w:rPr>
        <w:t> </w:t>
      </w:r>
      <w:r>
        <w:rPr/>
        <w:t>figurar</w:t>
      </w:r>
      <w:r>
        <w:rPr>
          <w:spacing w:val="-10"/>
        </w:rPr>
        <w:t> </w:t>
      </w:r>
      <w:r>
        <w:rPr/>
        <w:t>como</w:t>
      </w:r>
      <w:r>
        <w:rPr>
          <w:spacing w:val="-9"/>
        </w:rPr>
        <w:t> </w:t>
      </w:r>
      <w:r>
        <w:rPr/>
        <w:t>Polo</w:t>
      </w:r>
      <w:r>
        <w:rPr>
          <w:spacing w:val="-10"/>
        </w:rPr>
        <w:t> </w:t>
      </w:r>
      <w:r>
        <w:rPr/>
        <w:t>Ativo</w:t>
      </w:r>
      <w:r>
        <w:rPr>
          <w:spacing w:val="-9"/>
        </w:rPr>
        <w:t> </w:t>
      </w:r>
      <w:r>
        <w:rPr/>
        <w:t>na</w:t>
      </w:r>
      <w:r>
        <w:rPr>
          <w:spacing w:val="-9"/>
        </w:rPr>
        <w:t> </w:t>
      </w:r>
      <w:r>
        <w:rPr/>
        <w:t>Ação</w:t>
      </w:r>
      <w:r>
        <w:rPr>
          <w:spacing w:val="-10"/>
        </w:rPr>
        <w:t> </w:t>
      </w:r>
      <w:r>
        <w:rPr/>
        <w:t>Civil</w:t>
      </w:r>
      <w:r>
        <w:rPr>
          <w:spacing w:val="-9"/>
        </w:rPr>
        <w:t> </w:t>
      </w:r>
      <w:r>
        <w:rPr/>
        <w:t>Pública.</w:t>
      </w:r>
    </w:p>
    <w:p>
      <w:pPr>
        <w:pStyle w:val="BodyText"/>
        <w:spacing w:after="0" w:line="276" w:lineRule="auto"/>
        <w:jc w:val="both"/>
        <w:sectPr>
          <w:type w:val="continuous"/>
          <w:pgSz w:w="11910" w:h="16840"/>
          <w:pgMar w:top="1400" w:bottom="280" w:left="1133" w:right="1700"/>
        </w:sectPr>
      </w:pPr>
    </w:p>
    <w:p>
      <w:pPr>
        <w:pStyle w:val="BodyText"/>
        <w:spacing w:line="276" w:lineRule="auto" w:before="76"/>
        <w:ind w:right="215" w:firstLine="710"/>
        <w:jc w:val="both"/>
      </w:pPr>
      <w:r>
        <w:rPr/>
        <w:t>Como encaminhamento, foi proposta a constituição de um Grupo de Trabalho para aprofundamento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tema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elaboração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subsídios</w:t>
      </w:r>
      <w:r>
        <w:rPr>
          <w:spacing w:val="-4"/>
        </w:rPr>
        <w:t> </w:t>
      </w:r>
      <w:r>
        <w:rPr/>
        <w:t>técnicos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jurídicos</w:t>
      </w:r>
      <w:r>
        <w:rPr>
          <w:spacing w:val="-4"/>
        </w:rPr>
        <w:t> </w:t>
      </w:r>
      <w:r>
        <w:rPr/>
        <w:t>para</w:t>
      </w:r>
      <w:r>
        <w:rPr>
          <w:spacing w:val="-3"/>
        </w:rPr>
        <w:t> </w:t>
      </w:r>
      <w:r>
        <w:rPr/>
        <w:t>futura</w:t>
      </w:r>
      <w:r>
        <w:rPr>
          <w:spacing w:val="-3"/>
        </w:rPr>
        <w:t> </w:t>
      </w:r>
      <w:r>
        <w:rPr/>
        <w:t>manifestação </w:t>
      </w:r>
      <w:r>
        <w:rPr>
          <w:spacing w:val="-2"/>
        </w:rPr>
        <w:t>institucional.</w:t>
      </w:r>
    </w:p>
    <w:p>
      <w:pPr>
        <w:pStyle w:val="BodyText"/>
        <w:spacing w:line="276" w:lineRule="auto" w:before="204"/>
        <w:ind w:right="213" w:firstLine="710"/>
        <w:jc w:val="both"/>
      </w:pPr>
      <w:r>
        <w:rPr/>
        <w:t>Em</w:t>
      </w:r>
      <w:r>
        <w:rPr>
          <w:spacing w:val="-3"/>
        </w:rPr>
        <w:t> </w:t>
      </w:r>
      <w:r>
        <w:rPr/>
        <w:t>razão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avançado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hora,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discussão sobre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proposta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elaboração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um</w:t>
      </w:r>
      <w:r>
        <w:rPr>
          <w:spacing w:val="-3"/>
        </w:rPr>
        <w:t> </w:t>
      </w:r>
      <w:r>
        <w:rPr/>
        <w:t>Código de Conduta e Ética foi adiada para a próxima reunião ordinária. Foi sugerido pelos conselheiros que a minuta preliminar seja previamente disponibilizada para análise e contribuições.</w:t>
      </w:r>
    </w:p>
    <w:p>
      <w:pPr>
        <w:pStyle w:val="BodyText"/>
        <w:spacing w:line="276" w:lineRule="auto" w:before="198"/>
        <w:ind w:right="213" w:firstLine="710"/>
        <w:jc w:val="both"/>
      </w:pPr>
      <w:r>
        <w:rPr/>
        <w:t>Por fim, com a </w:t>
      </w:r>
      <w:r>
        <w:rPr>
          <w:b/>
        </w:rPr>
        <w:t>Pauta 3, </w:t>
      </w:r>
      <w:r>
        <w:rPr/>
        <w:t>foram apresentadas denúncias e demandas da sociedade civil. A primeira referiu-se ao relato de um pai que buscava esclarecimentos sobre as circunstâncias que levaram ao falecimento de seu filho após internação em hospital da capital. A Presidência manifestou solidariedade ao caso e informou que o encaminhamento seria realizado junto ao Observatório de Direitos Humanos (ODH). Também foi apresentado o caso de um imigrante que enfrenta dificuldades para obtenção de documentação brasileira em razão de inconsistências cadastrais relacionadas a supostos registros criminais. Como encaminhamento, foi definido o acompanhamento do caso pelo setor jurídico do CRAI, bem como a articulação com a Defensoria Pública da União para apuração da situação.</w:t>
      </w:r>
    </w:p>
    <w:p>
      <w:pPr>
        <w:pStyle w:val="BodyText"/>
        <w:spacing w:line="276" w:lineRule="auto" w:before="202"/>
        <w:ind w:right="209" w:firstLine="710"/>
        <w:jc w:val="both"/>
      </w:pPr>
      <w:r>
        <w:rPr/>
        <w:t>Antes do encerramento, a Presidência ressaltou a importância do planejamento prévio para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realização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eventos,</w:t>
      </w:r>
      <w:r>
        <w:rPr>
          <w:spacing w:val="-6"/>
        </w:rPr>
        <w:t> </w:t>
      </w:r>
      <w:r>
        <w:rPr/>
        <w:t>projetos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/>
        <w:t>atividades</w:t>
      </w:r>
      <w:r>
        <w:rPr>
          <w:spacing w:val="-3"/>
        </w:rPr>
        <w:t> </w:t>
      </w:r>
      <w:r>
        <w:rPr/>
        <w:t>do</w:t>
      </w:r>
      <w:r>
        <w:rPr>
          <w:spacing w:val="-7"/>
        </w:rPr>
        <w:t> </w:t>
      </w:r>
      <w:r>
        <w:rPr/>
        <w:t>Conselho,</w:t>
      </w:r>
      <w:r>
        <w:rPr>
          <w:spacing w:val="-6"/>
        </w:rPr>
        <w:t> </w:t>
      </w:r>
      <w:r>
        <w:rPr/>
        <w:t>destacando</w:t>
      </w:r>
      <w:r>
        <w:rPr>
          <w:spacing w:val="-8"/>
        </w:rPr>
        <w:t> </w:t>
      </w:r>
      <w:r>
        <w:rPr/>
        <w:t>que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viabilização</w:t>
      </w:r>
      <w:r>
        <w:rPr>
          <w:spacing w:val="-8"/>
        </w:rPr>
        <w:t> </w:t>
      </w:r>
      <w:r>
        <w:rPr/>
        <w:t>das propostas</w:t>
      </w:r>
      <w:r>
        <w:rPr>
          <w:spacing w:val="-13"/>
        </w:rPr>
        <w:t> </w:t>
      </w:r>
      <w:r>
        <w:rPr/>
        <w:t>depende</w:t>
      </w:r>
      <w:r>
        <w:rPr>
          <w:spacing w:val="-11"/>
        </w:rPr>
        <w:t> </w:t>
      </w:r>
      <w:r>
        <w:rPr/>
        <w:t>de</w:t>
      </w:r>
      <w:r>
        <w:rPr>
          <w:spacing w:val="-9"/>
        </w:rPr>
        <w:t> </w:t>
      </w:r>
      <w:r>
        <w:rPr/>
        <w:t>disponibilidade</w:t>
      </w:r>
      <w:r>
        <w:rPr>
          <w:spacing w:val="-10"/>
        </w:rPr>
        <w:t> </w:t>
      </w:r>
      <w:r>
        <w:rPr/>
        <w:t>orçamentária,</w:t>
      </w:r>
      <w:r>
        <w:rPr>
          <w:spacing w:val="-10"/>
        </w:rPr>
        <w:t> </w:t>
      </w:r>
      <w:r>
        <w:rPr/>
        <w:t>planejamento</w:t>
      </w:r>
      <w:r>
        <w:rPr>
          <w:spacing w:val="-11"/>
        </w:rPr>
        <w:t> </w:t>
      </w:r>
      <w:r>
        <w:rPr/>
        <w:t>institucional</w:t>
      </w:r>
      <w:r>
        <w:rPr>
          <w:spacing w:val="-11"/>
        </w:rPr>
        <w:t> </w:t>
      </w:r>
      <w:r>
        <w:rPr/>
        <w:t>e</w:t>
      </w:r>
      <w:r>
        <w:rPr>
          <w:spacing w:val="-13"/>
        </w:rPr>
        <w:t> </w:t>
      </w:r>
      <w:r>
        <w:rPr/>
        <w:t>articulação</w:t>
      </w:r>
      <w:r>
        <w:rPr>
          <w:spacing w:val="-12"/>
        </w:rPr>
        <w:t> </w:t>
      </w:r>
      <w:r>
        <w:rPr/>
        <w:t>com outras coordenações e órgãos públicos.</w:t>
      </w:r>
    </w:p>
    <w:p>
      <w:pPr>
        <w:pStyle w:val="BodyText"/>
        <w:spacing w:before="200"/>
      </w:pPr>
      <w:r>
        <w:rPr/>
        <w:t>Nada</w:t>
      </w:r>
      <w:r>
        <w:rPr>
          <w:spacing w:val="-5"/>
        </w:rPr>
        <w:t> </w:t>
      </w:r>
      <w:r>
        <w:rPr/>
        <w:t>mais</w:t>
      </w:r>
      <w:r>
        <w:rPr>
          <w:spacing w:val="-4"/>
        </w:rPr>
        <w:t> </w:t>
      </w:r>
      <w:r>
        <w:rPr/>
        <w:t>havendo a</w:t>
      </w:r>
      <w:r>
        <w:rPr>
          <w:spacing w:val="-3"/>
        </w:rPr>
        <w:t> </w:t>
      </w:r>
      <w:r>
        <w:rPr/>
        <w:t>tratar,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reunião</w:t>
      </w:r>
      <w:r>
        <w:rPr>
          <w:spacing w:val="-3"/>
        </w:rPr>
        <w:t> </w:t>
      </w:r>
      <w:r>
        <w:rPr/>
        <w:t>foi</w:t>
      </w:r>
      <w:r>
        <w:rPr>
          <w:spacing w:val="-2"/>
        </w:rPr>
        <w:t> </w:t>
      </w:r>
      <w:r>
        <w:rPr/>
        <w:t>encerrada</w:t>
      </w:r>
      <w:r>
        <w:rPr>
          <w:spacing w:val="-3"/>
        </w:rPr>
        <w:t> </w:t>
      </w:r>
      <w:r>
        <w:rPr/>
        <w:t>às</w:t>
      </w:r>
      <w:r>
        <w:rPr>
          <w:spacing w:val="-3"/>
        </w:rPr>
        <w:t> </w:t>
      </w:r>
      <w:r>
        <w:rPr>
          <w:spacing w:val="-2"/>
        </w:rPr>
        <w:t>16h57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26"/>
        <w:ind w:left="0"/>
      </w:pPr>
    </w:p>
    <w:p>
      <w:pPr>
        <w:pStyle w:val="Heading1"/>
        <w:ind w:left="48" w:right="135"/>
        <w:jc w:val="center"/>
      </w:pPr>
      <w:r>
        <w:rPr>
          <w:spacing w:val="-2"/>
        </w:rPr>
        <w:t>Encaminhamentos</w:t>
      </w:r>
    </w:p>
    <w:p>
      <w:pPr>
        <w:pStyle w:val="BodyText"/>
        <w:spacing w:before="32"/>
        <w:ind w:left="0"/>
        <w:rPr>
          <w:b/>
          <w:sz w:val="20"/>
        </w:rPr>
      </w:pPr>
    </w:p>
    <w:tbl>
      <w:tblPr>
        <w:tblW w:w="0" w:type="auto"/>
        <w:jc w:val="left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6"/>
        <w:gridCol w:w="3932"/>
        <w:gridCol w:w="2961"/>
        <w:gridCol w:w="1466"/>
      </w:tblGrid>
      <w:tr>
        <w:trPr>
          <w:trHeight w:val="479" w:hRule="atLeast"/>
        </w:trPr>
        <w:tc>
          <w:tcPr>
            <w:tcW w:w="496" w:type="dxa"/>
            <w:shd w:val="clear" w:color="auto" w:fill="EEEEEE"/>
          </w:tcPr>
          <w:p>
            <w:pPr>
              <w:pStyle w:val="TableParagraph"/>
              <w:spacing w:before="105"/>
              <w:ind w:left="9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N.</w:t>
            </w:r>
          </w:p>
        </w:tc>
        <w:tc>
          <w:tcPr>
            <w:tcW w:w="3932" w:type="dxa"/>
            <w:shd w:val="clear" w:color="auto" w:fill="EEEEEE"/>
          </w:tcPr>
          <w:p>
            <w:pPr>
              <w:pStyle w:val="TableParagraph"/>
              <w:spacing w:before="105"/>
              <w:ind w:left="91"/>
              <w:rPr>
                <w:b/>
                <w:sz w:val="22"/>
              </w:rPr>
            </w:pPr>
            <w:r>
              <w:rPr>
                <w:b/>
                <w:sz w:val="22"/>
              </w:rPr>
              <w:t>Descrição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dos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encaminhamentos</w:t>
            </w:r>
          </w:p>
        </w:tc>
        <w:tc>
          <w:tcPr>
            <w:tcW w:w="2961" w:type="dxa"/>
            <w:shd w:val="clear" w:color="auto" w:fill="EEEEEE"/>
          </w:tcPr>
          <w:p>
            <w:pPr>
              <w:pStyle w:val="TableParagraph"/>
              <w:spacing w:before="105"/>
              <w:ind w:left="9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Responsável</w:t>
            </w:r>
          </w:p>
        </w:tc>
        <w:tc>
          <w:tcPr>
            <w:tcW w:w="1466" w:type="dxa"/>
            <w:shd w:val="clear" w:color="auto" w:fill="EEEEEE"/>
          </w:tcPr>
          <w:p>
            <w:pPr>
              <w:pStyle w:val="TableParagraph"/>
              <w:spacing w:before="105"/>
              <w:ind w:left="9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Prazo</w:t>
            </w:r>
          </w:p>
        </w:tc>
      </w:tr>
      <w:tr>
        <w:trPr>
          <w:trHeight w:val="1305" w:hRule="atLeast"/>
        </w:trPr>
        <w:tc>
          <w:tcPr>
            <w:tcW w:w="496" w:type="dxa"/>
          </w:tcPr>
          <w:p>
            <w:pPr>
              <w:pStyle w:val="TableParagraph"/>
              <w:spacing w:before="90"/>
              <w:ind w:left="9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01</w:t>
            </w:r>
          </w:p>
        </w:tc>
        <w:tc>
          <w:tcPr>
            <w:tcW w:w="3932" w:type="dxa"/>
          </w:tcPr>
          <w:p>
            <w:pPr>
              <w:pStyle w:val="TableParagraph"/>
              <w:spacing w:before="90"/>
              <w:ind w:left="91" w:right="69"/>
              <w:jc w:val="both"/>
              <w:rPr>
                <w:sz w:val="22"/>
              </w:rPr>
            </w:pPr>
            <w:r>
              <w:rPr>
                <w:sz w:val="22"/>
              </w:rPr>
              <w:t>Disponibilizar previamente o material de um Código de Conduta e Ética aos conselheiros para leitura e contribuições</w:t>
            </w:r>
          </w:p>
        </w:tc>
        <w:tc>
          <w:tcPr>
            <w:tcW w:w="2961" w:type="dxa"/>
          </w:tcPr>
          <w:p>
            <w:pPr>
              <w:pStyle w:val="TableParagraph"/>
              <w:tabs>
                <w:tab w:pos="1496" w:val="left" w:leader="none"/>
                <w:tab w:pos="1985" w:val="left" w:leader="none"/>
              </w:tabs>
              <w:spacing w:before="90"/>
              <w:ind w:left="91" w:right="72"/>
              <w:rPr>
                <w:sz w:val="22"/>
              </w:rPr>
            </w:pPr>
            <w:r>
              <w:rPr>
                <w:spacing w:val="-2"/>
                <w:sz w:val="22"/>
              </w:rPr>
              <w:t>Presidência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secretaria executiva</w:t>
            </w:r>
          </w:p>
        </w:tc>
        <w:tc>
          <w:tcPr>
            <w:tcW w:w="1466" w:type="dxa"/>
          </w:tcPr>
          <w:p>
            <w:pPr>
              <w:pStyle w:val="TableParagraph"/>
              <w:spacing w:before="90"/>
              <w:ind w:left="91"/>
              <w:rPr>
                <w:sz w:val="22"/>
              </w:rPr>
            </w:pPr>
            <w:r>
              <w:rPr>
                <w:spacing w:val="-2"/>
                <w:sz w:val="22"/>
              </w:rPr>
              <w:t>29/07/2026</w:t>
            </w:r>
          </w:p>
        </w:tc>
      </w:tr>
      <w:tr>
        <w:trPr>
          <w:trHeight w:val="1305" w:hRule="atLeast"/>
        </w:trPr>
        <w:tc>
          <w:tcPr>
            <w:tcW w:w="496" w:type="dxa"/>
          </w:tcPr>
          <w:p>
            <w:pPr>
              <w:pStyle w:val="TableParagraph"/>
              <w:spacing w:before="90"/>
              <w:ind w:left="14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02</w:t>
            </w:r>
          </w:p>
        </w:tc>
        <w:tc>
          <w:tcPr>
            <w:tcW w:w="3932" w:type="dxa"/>
          </w:tcPr>
          <w:p>
            <w:pPr>
              <w:pStyle w:val="TableParagraph"/>
              <w:spacing w:before="90"/>
              <w:ind w:left="91" w:right="73" w:firstLine="50"/>
              <w:jc w:val="both"/>
              <w:rPr>
                <w:sz w:val="22"/>
              </w:rPr>
            </w:pPr>
            <w:r>
              <w:rPr>
                <w:sz w:val="22"/>
              </w:rPr>
              <w:t>Constituir um </w:t>
            </w:r>
            <w:r>
              <w:rPr>
                <w:b/>
                <w:sz w:val="22"/>
              </w:rPr>
              <w:t>Grupo de Trabalho (GT) </w:t>
            </w:r>
            <w:r>
              <w:rPr>
                <w:sz w:val="22"/>
              </w:rPr>
              <w:t>para aprofundar a discussão sobre os impactos da exigência de proficiência em </w:t>
            </w:r>
            <w:r>
              <w:rPr>
                <w:spacing w:val="-2"/>
                <w:sz w:val="22"/>
              </w:rPr>
              <w:t>português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nos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processos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naturalização.</w:t>
            </w:r>
          </w:p>
        </w:tc>
        <w:tc>
          <w:tcPr>
            <w:tcW w:w="2961" w:type="dxa"/>
          </w:tcPr>
          <w:p>
            <w:pPr>
              <w:pStyle w:val="TableParagraph"/>
              <w:tabs>
                <w:tab w:pos="1496" w:val="left" w:leader="none"/>
                <w:tab w:pos="1985" w:val="left" w:leader="none"/>
              </w:tabs>
              <w:spacing w:before="90"/>
              <w:ind w:left="91" w:right="72"/>
              <w:rPr>
                <w:sz w:val="22"/>
              </w:rPr>
            </w:pPr>
            <w:r>
              <w:rPr>
                <w:spacing w:val="-2"/>
                <w:sz w:val="22"/>
              </w:rPr>
              <w:t>Presidência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secretaria executiva</w:t>
            </w:r>
          </w:p>
        </w:tc>
        <w:tc>
          <w:tcPr>
            <w:tcW w:w="1466" w:type="dxa"/>
          </w:tcPr>
          <w:p>
            <w:pPr>
              <w:pStyle w:val="TableParagraph"/>
              <w:spacing w:before="90"/>
              <w:ind w:left="91"/>
              <w:rPr>
                <w:sz w:val="22"/>
              </w:rPr>
            </w:pPr>
            <w:r>
              <w:rPr>
                <w:spacing w:val="-2"/>
                <w:sz w:val="22"/>
              </w:rPr>
              <w:t>10/08/2026</w:t>
            </w:r>
          </w:p>
        </w:tc>
      </w:tr>
      <w:tr>
        <w:trPr>
          <w:trHeight w:val="1305" w:hRule="atLeast"/>
        </w:trPr>
        <w:tc>
          <w:tcPr>
            <w:tcW w:w="496" w:type="dxa"/>
          </w:tcPr>
          <w:p>
            <w:pPr>
              <w:pStyle w:val="TableParagraph"/>
              <w:spacing w:before="90"/>
              <w:ind w:left="9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03</w:t>
            </w:r>
          </w:p>
        </w:tc>
        <w:tc>
          <w:tcPr>
            <w:tcW w:w="3932" w:type="dxa"/>
          </w:tcPr>
          <w:p>
            <w:pPr>
              <w:pStyle w:val="TableParagraph"/>
              <w:spacing w:before="90"/>
              <w:ind w:left="91" w:right="74"/>
              <w:jc w:val="both"/>
              <w:rPr>
                <w:sz w:val="22"/>
              </w:rPr>
            </w:pPr>
            <w:r>
              <w:rPr>
                <w:sz w:val="22"/>
              </w:rPr>
              <w:t>Realizar internos para verificação de possibilidade do CMI figurar como polo ativo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Ação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Civil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Pública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mencionada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na Pauta 3</w:t>
            </w:r>
          </w:p>
        </w:tc>
        <w:tc>
          <w:tcPr>
            <w:tcW w:w="2961" w:type="dxa"/>
          </w:tcPr>
          <w:p>
            <w:pPr>
              <w:pStyle w:val="TableParagraph"/>
              <w:tabs>
                <w:tab w:pos="1496" w:val="left" w:leader="none"/>
                <w:tab w:pos="1985" w:val="left" w:leader="none"/>
              </w:tabs>
              <w:spacing w:before="90"/>
              <w:ind w:left="91" w:right="72"/>
              <w:rPr>
                <w:sz w:val="22"/>
              </w:rPr>
            </w:pPr>
            <w:r>
              <w:rPr>
                <w:spacing w:val="-2"/>
                <w:sz w:val="22"/>
              </w:rPr>
              <w:t>Presidência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secretaria executiva</w:t>
            </w:r>
          </w:p>
        </w:tc>
        <w:tc>
          <w:tcPr>
            <w:tcW w:w="1466" w:type="dxa"/>
          </w:tcPr>
          <w:p>
            <w:pPr>
              <w:pStyle w:val="TableParagraph"/>
              <w:spacing w:before="90"/>
              <w:ind w:left="91"/>
              <w:rPr>
                <w:sz w:val="22"/>
              </w:rPr>
            </w:pPr>
            <w:r>
              <w:rPr>
                <w:spacing w:val="-2"/>
                <w:sz w:val="22"/>
              </w:rPr>
              <w:t>15/08/2026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10" w:h="16840"/>
          <w:pgMar w:top="1340" w:bottom="280" w:left="1133" w:right="1700"/>
        </w:sectPr>
      </w:pPr>
    </w:p>
    <w:tbl>
      <w:tblPr>
        <w:tblW w:w="0" w:type="auto"/>
        <w:jc w:val="left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6"/>
        <w:gridCol w:w="3932"/>
        <w:gridCol w:w="2961"/>
        <w:gridCol w:w="1466"/>
      </w:tblGrid>
      <w:tr>
        <w:trPr>
          <w:trHeight w:val="1305" w:hRule="atLeast"/>
        </w:trPr>
        <w:tc>
          <w:tcPr>
            <w:tcW w:w="496" w:type="dxa"/>
          </w:tcPr>
          <w:p>
            <w:pPr>
              <w:pStyle w:val="TableParagraph"/>
              <w:spacing w:before="90"/>
              <w:ind w:left="3" w:right="75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04</w:t>
            </w:r>
          </w:p>
        </w:tc>
        <w:tc>
          <w:tcPr>
            <w:tcW w:w="3932" w:type="dxa"/>
          </w:tcPr>
          <w:p>
            <w:pPr>
              <w:pStyle w:val="TableParagraph"/>
              <w:spacing w:before="90"/>
              <w:ind w:left="91" w:right="71"/>
              <w:jc w:val="both"/>
              <w:rPr>
                <w:sz w:val="22"/>
              </w:rPr>
            </w:pPr>
            <w:r>
              <w:rPr>
                <w:sz w:val="22"/>
              </w:rPr>
              <w:t>Promover a ampla divulgação das inscrições do exame Celpe-Bras junto às comunidades migrantes.</w:t>
            </w:r>
          </w:p>
        </w:tc>
        <w:tc>
          <w:tcPr>
            <w:tcW w:w="2961" w:type="dxa"/>
          </w:tcPr>
          <w:p>
            <w:pPr>
              <w:pStyle w:val="TableParagraph"/>
              <w:spacing w:before="90"/>
              <w:ind w:left="91"/>
              <w:rPr>
                <w:sz w:val="22"/>
              </w:rPr>
            </w:pPr>
            <w:r>
              <w:rPr>
                <w:sz w:val="22"/>
              </w:rPr>
              <w:t>Secretaria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Executiva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todos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os </w:t>
            </w:r>
            <w:r>
              <w:rPr>
                <w:spacing w:val="-2"/>
                <w:sz w:val="22"/>
              </w:rPr>
              <w:t>conselheiros</w:t>
            </w:r>
          </w:p>
        </w:tc>
        <w:tc>
          <w:tcPr>
            <w:tcW w:w="1466" w:type="dxa"/>
          </w:tcPr>
          <w:p>
            <w:pPr>
              <w:pStyle w:val="TableParagraph"/>
              <w:spacing w:before="90"/>
              <w:ind w:left="91"/>
              <w:rPr>
                <w:sz w:val="22"/>
              </w:rPr>
            </w:pPr>
            <w:r>
              <w:rPr>
                <w:spacing w:val="-2"/>
                <w:sz w:val="22"/>
              </w:rPr>
              <w:t>10/08/2026</w:t>
            </w:r>
          </w:p>
        </w:tc>
      </w:tr>
      <w:tr>
        <w:trPr>
          <w:trHeight w:val="1305" w:hRule="atLeast"/>
        </w:trPr>
        <w:tc>
          <w:tcPr>
            <w:tcW w:w="496" w:type="dxa"/>
          </w:tcPr>
          <w:p>
            <w:pPr>
              <w:pStyle w:val="TableParagraph"/>
              <w:spacing w:before="90"/>
              <w:ind w:right="182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0</w:t>
            </w:r>
          </w:p>
        </w:tc>
        <w:tc>
          <w:tcPr>
            <w:tcW w:w="3932" w:type="dxa"/>
          </w:tcPr>
          <w:p>
            <w:pPr>
              <w:pStyle w:val="TableParagraph"/>
              <w:spacing w:before="90"/>
              <w:ind w:left="91" w:right="72"/>
              <w:jc w:val="both"/>
              <w:rPr>
                <w:sz w:val="22"/>
              </w:rPr>
            </w:pPr>
            <w:r>
              <w:rPr>
                <w:sz w:val="22"/>
              </w:rPr>
              <w:t>Encaminhar o caso do falecimento do jovem ao </w:t>
            </w:r>
            <w:r>
              <w:rPr>
                <w:b/>
                <w:sz w:val="22"/>
              </w:rPr>
              <w:t>Observatório de Direitos Humanos (ODH) </w:t>
            </w:r>
            <w:r>
              <w:rPr>
                <w:sz w:val="22"/>
              </w:rPr>
              <w:t>para análise e </w:t>
            </w:r>
            <w:r>
              <w:rPr>
                <w:spacing w:val="-2"/>
                <w:sz w:val="22"/>
              </w:rPr>
              <w:t>acompanhamento.</w:t>
            </w:r>
          </w:p>
        </w:tc>
        <w:tc>
          <w:tcPr>
            <w:tcW w:w="2961" w:type="dxa"/>
          </w:tcPr>
          <w:p>
            <w:pPr>
              <w:pStyle w:val="TableParagraph"/>
              <w:spacing w:before="90"/>
              <w:ind w:left="91"/>
              <w:rPr>
                <w:sz w:val="22"/>
              </w:rPr>
            </w:pPr>
            <w:r>
              <w:rPr>
                <w:sz w:val="22"/>
              </w:rPr>
              <w:t>CPIPTD e </w:t>
            </w:r>
            <w:r>
              <w:rPr>
                <w:spacing w:val="-5"/>
                <w:sz w:val="22"/>
              </w:rPr>
              <w:t>ODH</w:t>
            </w:r>
          </w:p>
        </w:tc>
        <w:tc>
          <w:tcPr>
            <w:tcW w:w="1466" w:type="dxa"/>
          </w:tcPr>
          <w:p>
            <w:pPr>
              <w:pStyle w:val="TableParagraph"/>
              <w:spacing w:before="90"/>
              <w:ind w:left="91"/>
              <w:rPr>
                <w:sz w:val="22"/>
              </w:rPr>
            </w:pPr>
            <w:r>
              <w:rPr>
                <w:spacing w:val="-2"/>
                <w:sz w:val="22"/>
              </w:rPr>
              <w:t>05/08/2026</w:t>
            </w:r>
          </w:p>
        </w:tc>
      </w:tr>
      <w:tr>
        <w:trPr>
          <w:trHeight w:val="1305" w:hRule="atLeast"/>
        </w:trPr>
        <w:tc>
          <w:tcPr>
            <w:tcW w:w="496" w:type="dxa"/>
          </w:tcPr>
          <w:p>
            <w:pPr>
              <w:pStyle w:val="TableParagraph"/>
              <w:spacing w:before="91"/>
              <w:ind w:right="75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05</w:t>
            </w:r>
          </w:p>
        </w:tc>
        <w:tc>
          <w:tcPr>
            <w:tcW w:w="3932" w:type="dxa"/>
          </w:tcPr>
          <w:p>
            <w:pPr>
              <w:pStyle w:val="TableParagraph"/>
              <w:spacing w:before="91"/>
              <w:ind w:left="91" w:right="72"/>
              <w:jc w:val="both"/>
              <w:rPr>
                <w:sz w:val="22"/>
              </w:rPr>
            </w:pPr>
            <w:r>
              <w:rPr>
                <w:sz w:val="22"/>
              </w:rPr>
              <w:t>Acompanhar o caso da dificuldade de obtenção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documentação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brasileira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por meio do </w:t>
            </w:r>
            <w:r>
              <w:rPr>
                <w:b/>
                <w:sz w:val="22"/>
              </w:rPr>
              <w:t>jurídico do CRAI</w:t>
            </w:r>
            <w:r>
              <w:rPr>
                <w:sz w:val="22"/>
              </w:rPr>
              <w:t>.</w:t>
            </w:r>
          </w:p>
        </w:tc>
        <w:tc>
          <w:tcPr>
            <w:tcW w:w="2961" w:type="dxa"/>
          </w:tcPr>
          <w:p>
            <w:pPr>
              <w:pStyle w:val="TableParagraph"/>
              <w:spacing w:before="91"/>
              <w:ind w:left="91"/>
              <w:rPr>
                <w:sz w:val="22"/>
              </w:rPr>
            </w:pPr>
            <w:r>
              <w:rPr>
                <w:sz w:val="22"/>
              </w:rPr>
              <w:t>CPIPTD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 </w:t>
            </w:r>
            <w:r>
              <w:rPr>
                <w:spacing w:val="-4"/>
                <w:sz w:val="22"/>
              </w:rPr>
              <w:t>CRAI</w:t>
            </w:r>
          </w:p>
        </w:tc>
        <w:tc>
          <w:tcPr>
            <w:tcW w:w="1466" w:type="dxa"/>
          </w:tcPr>
          <w:p>
            <w:pPr>
              <w:pStyle w:val="TableParagraph"/>
              <w:spacing w:before="91"/>
              <w:ind w:left="91"/>
              <w:rPr>
                <w:sz w:val="22"/>
              </w:rPr>
            </w:pPr>
            <w:r>
              <w:rPr>
                <w:spacing w:val="-2"/>
                <w:sz w:val="22"/>
              </w:rPr>
              <w:t>05/08/2026</w:t>
            </w:r>
          </w:p>
        </w:tc>
      </w:tr>
      <w:tr>
        <w:trPr>
          <w:trHeight w:val="1305" w:hRule="atLeast"/>
        </w:trPr>
        <w:tc>
          <w:tcPr>
            <w:tcW w:w="496" w:type="dxa"/>
          </w:tcPr>
          <w:p>
            <w:pPr>
              <w:pStyle w:val="TableParagraph"/>
              <w:spacing w:before="90"/>
              <w:ind w:right="75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06</w:t>
            </w:r>
          </w:p>
        </w:tc>
        <w:tc>
          <w:tcPr>
            <w:tcW w:w="3932" w:type="dxa"/>
          </w:tcPr>
          <w:p>
            <w:pPr>
              <w:pStyle w:val="TableParagraph"/>
              <w:spacing w:before="90"/>
              <w:ind w:left="91" w:right="68"/>
              <w:jc w:val="both"/>
              <w:rPr>
                <w:sz w:val="22"/>
              </w:rPr>
            </w:pPr>
            <w:r>
              <w:rPr>
                <w:sz w:val="22"/>
              </w:rPr>
              <w:t>Realizar o encontro formativo do mês de agosto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parceria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com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Coordenação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de Políticas para Povos Indígenas (COPIND), no âmbito do Agosto Indígena.</w:t>
            </w:r>
          </w:p>
        </w:tc>
        <w:tc>
          <w:tcPr>
            <w:tcW w:w="2961" w:type="dxa"/>
          </w:tcPr>
          <w:p>
            <w:pPr>
              <w:pStyle w:val="TableParagraph"/>
              <w:tabs>
                <w:tab w:pos="1496" w:val="left" w:leader="none"/>
                <w:tab w:pos="1985" w:val="left" w:leader="none"/>
              </w:tabs>
              <w:spacing w:line="242" w:lineRule="auto" w:before="90"/>
              <w:ind w:left="91" w:right="72"/>
              <w:rPr>
                <w:sz w:val="22"/>
              </w:rPr>
            </w:pPr>
            <w:r>
              <w:rPr>
                <w:spacing w:val="-2"/>
                <w:sz w:val="22"/>
              </w:rPr>
              <w:t>Presidência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secretaria executiva</w:t>
            </w:r>
          </w:p>
        </w:tc>
        <w:tc>
          <w:tcPr>
            <w:tcW w:w="1466" w:type="dxa"/>
          </w:tcPr>
          <w:p>
            <w:pPr>
              <w:pStyle w:val="TableParagraph"/>
              <w:spacing w:before="90"/>
              <w:ind w:left="91"/>
              <w:rPr>
                <w:sz w:val="22"/>
              </w:rPr>
            </w:pPr>
            <w:r>
              <w:rPr>
                <w:spacing w:val="-2"/>
                <w:sz w:val="22"/>
              </w:rPr>
              <w:t>20/08/2026</w:t>
            </w:r>
          </w:p>
        </w:tc>
      </w:tr>
      <w:tr>
        <w:trPr>
          <w:trHeight w:val="1305" w:hRule="atLeast"/>
        </w:trPr>
        <w:tc>
          <w:tcPr>
            <w:tcW w:w="496" w:type="dxa"/>
          </w:tcPr>
          <w:p>
            <w:pPr>
              <w:pStyle w:val="TableParagraph"/>
              <w:spacing w:before="90"/>
              <w:ind w:right="75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07</w:t>
            </w:r>
          </w:p>
        </w:tc>
        <w:tc>
          <w:tcPr>
            <w:tcW w:w="3932" w:type="dxa"/>
          </w:tcPr>
          <w:p>
            <w:pPr>
              <w:pStyle w:val="TableParagraph"/>
              <w:spacing w:before="90"/>
              <w:ind w:left="91"/>
              <w:rPr>
                <w:sz w:val="22"/>
              </w:rPr>
            </w:pPr>
            <w:r>
              <w:rPr>
                <w:sz w:val="22"/>
              </w:rPr>
              <w:t>Realizar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visita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educativa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Museu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dos Povos Indígenas</w:t>
            </w:r>
          </w:p>
        </w:tc>
        <w:tc>
          <w:tcPr>
            <w:tcW w:w="2961" w:type="dxa"/>
          </w:tcPr>
          <w:p>
            <w:pPr>
              <w:pStyle w:val="TableParagraph"/>
              <w:tabs>
                <w:tab w:pos="1496" w:val="left" w:leader="none"/>
                <w:tab w:pos="1985" w:val="left" w:leader="none"/>
              </w:tabs>
              <w:spacing w:before="90"/>
              <w:ind w:left="91" w:right="72"/>
              <w:rPr>
                <w:sz w:val="22"/>
              </w:rPr>
            </w:pPr>
            <w:r>
              <w:rPr>
                <w:spacing w:val="-2"/>
                <w:sz w:val="22"/>
              </w:rPr>
              <w:t>Presidência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secretaria executiva</w:t>
            </w:r>
          </w:p>
        </w:tc>
        <w:tc>
          <w:tcPr>
            <w:tcW w:w="1466" w:type="dxa"/>
          </w:tcPr>
          <w:p>
            <w:pPr>
              <w:pStyle w:val="TableParagraph"/>
              <w:spacing w:before="90"/>
              <w:ind w:left="91"/>
              <w:rPr>
                <w:sz w:val="22"/>
              </w:rPr>
            </w:pPr>
            <w:r>
              <w:rPr>
                <w:spacing w:val="-2"/>
                <w:sz w:val="22"/>
              </w:rPr>
              <w:t>27/08/2026</w:t>
            </w:r>
          </w:p>
        </w:tc>
      </w:tr>
      <w:tr>
        <w:trPr>
          <w:trHeight w:val="1305" w:hRule="atLeast"/>
        </w:trPr>
        <w:tc>
          <w:tcPr>
            <w:tcW w:w="496" w:type="dxa"/>
          </w:tcPr>
          <w:p>
            <w:pPr>
              <w:pStyle w:val="TableParagraph"/>
              <w:spacing w:before="90"/>
              <w:ind w:left="3" w:right="75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08</w:t>
            </w:r>
          </w:p>
        </w:tc>
        <w:tc>
          <w:tcPr>
            <w:tcW w:w="3932" w:type="dxa"/>
          </w:tcPr>
          <w:p>
            <w:pPr>
              <w:pStyle w:val="TableParagraph"/>
              <w:spacing w:before="90"/>
              <w:ind w:left="91" w:right="78"/>
              <w:jc w:val="both"/>
              <w:rPr>
                <w:sz w:val="22"/>
              </w:rPr>
            </w:pPr>
            <w:r>
              <w:rPr>
                <w:sz w:val="22"/>
              </w:rPr>
              <w:t>Produzir novos crachás para novos membros e a identidade visual atualizada do Conselho.</w:t>
            </w:r>
          </w:p>
        </w:tc>
        <w:tc>
          <w:tcPr>
            <w:tcW w:w="2961" w:type="dxa"/>
          </w:tcPr>
          <w:p>
            <w:pPr>
              <w:pStyle w:val="TableParagraph"/>
              <w:tabs>
                <w:tab w:pos="1496" w:val="left" w:leader="none"/>
                <w:tab w:pos="1985" w:val="left" w:leader="none"/>
              </w:tabs>
              <w:spacing w:before="90"/>
              <w:ind w:left="91" w:right="72"/>
              <w:rPr>
                <w:sz w:val="22"/>
              </w:rPr>
            </w:pPr>
            <w:r>
              <w:rPr>
                <w:spacing w:val="-2"/>
                <w:sz w:val="22"/>
              </w:rPr>
              <w:t>Presidência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secretaria executiva</w:t>
            </w:r>
          </w:p>
        </w:tc>
        <w:tc>
          <w:tcPr>
            <w:tcW w:w="1466" w:type="dxa"/>
          </w:tcPr>
          <w:p>
            <w:pPr>
              <w:pStyle w:val="TableParagraph"/>
              <w:spacing w:before="90"/>
              <w:ind w:left="91"/>
              <w:rPr>
                <w:sz w:val="22"/>
              </w:rPr>
            </w:pPr>
            <w:r>
              <w:rPr>
                <w:spacing w:val="-2"/>
                <w:sz w:val="22"/>
              </w:rPr>
              <w:t>20/08/2026</w:t>
            </w:r>
          </w:p>
        </w:tc>
      </w:tr>
      <w:tr>
        <w:trPr>
          <w:trHeight w:val="1305" w:hRule="atLeast"/>
        </w:trPr>
        <w:tc>
          <w:tcPr>
            <w:tcW w:w="496" w:type="dxa"/>
          </w:tcPr>
          <w:p>
            <w:pPr>
              <w:pStyle w:val="TableParagraph"/>
              <w:spacing w:before="91"/>
              <w:ind w:left="3" w:right="75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09</w:t>
            </w:r>
          </w:p>
        </w:tc>
        <w:tc>
          <w:tcPr>
            <w:tcW w:w="3932" w:type="dxa"/>
          </w:tcPr>
          <w:p>
            <w:pPr>
              <w:pStyle w:val="TableParagraph"/>
              <w:spacing w:before="91"/>
              <w:ind w:left="91" w:right="70"/>
              <w:jc w:val="both"/>
              <w:rPr>
                <w:sz w:val="22"/>
              </w:rPr>
            </w:pPr>
            <w:r>
              <w:rPr>
                <w:sz w:val="22"/>
              </w:rPr>
              <w:t>Manter as articulações internas e intersecretariais para avaliação da viabilidade da concessão do benefício de Bilhete Único.</w:t>
            </w:r>
          </w:p>
        </w:tc>
        <w:tc>
          <w:tcPr>
            <w:tcW w:w="2961" w:type="dxa"/>
          </w:tcPr>
          <w:p>
            <w:pPr>
              <w:pStyle w:val="TableParagraph"/>
              <w:tabs>
                <w:tab w:pos="1496" w:val="left" w:leader="none"/>
                <w:tab w:pos="1985" w:val="left" w:leader="none"/>
              </w:tabs>
              <w:spacing w:before="91"/>
              <w:ind w:left="91" w:right="72"/>
              <w:rPr>
                <w:sz w:val="22"/>
              </w:rPr>
            </w:pPr>
            <w:r>
              <w:rPr>
                <w:spacing w:val="-2"/>
                <w:sz w:val="22"/>
              </w:rPr>
              <w:t>Presidência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secretaria executiva</w:t>
            </w:r>
          </w:p>
        </w:tc>
        <w:tc>
          <w:tcPr>
            <w:tcW w:w="1466" w:type="dxa"/>
          </w:tcPr>
          <w:p>
            <w:pPr>
              <w:pStyle w:val="TableParagraph"/>
              <w:spacing w:before="91"/>
              <w:ind w:left="91"/>
              <w:rPr>
                <w:sz w:val="22"/>
              </w:rPr>
            </w:pPr>
            <w:r>
              <w:rPr>
                <w:spacing w:val="-2"/>
                <w:sz w:val="22"/>
              </w:rPr>
              <w:t>20/08/2026</w:t>
            </w:r>
          </w:p>
        </w:tc>
      </w:tr>
    </w:tbl>
    <w:sectPr>
      <w:pgSz w:w="11910" w:h="16840"/>
      <w:pgMar w:top="1400" w:bottom="280" w:left="1133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upperRoman"/>
      <w:lvlText w:val="%1"/>
      <w:lvlJc w:val="left"/>
      <w:pPr>
        <w:ind w:left="222" w:hanging="95"/>
        <w:jc w:val="left"/>
      </w:pPr>
      <w:rPr>
        <w:rFonts w:hint="default" w:ascii="Calibri" w:hAnsi="Calibri" w:eastAsia="Calibri" w:cs="Calibri"/>
        <w:b w:val="0"/>
        <w:bCs w:val="0"/>
        <w:i/>
        <w:iCs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05" w:hanging="9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90" w:hanging="9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75" w:hanging="9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60" w:hanging="9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46" w:hanging="9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31" w:hanging="9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16" w:hanging="9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301" w:hanging="95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297" w:hanging="170"/>
        <w:jc w:val="left"/>
      </w:pPr>
      <w:rPr>
        <w:rFonts w:hint="default" w:ascii="Calibri" w:hAnsi="Calibri" w:eastAsia="Calibri" w:cs="Calibri"/>
        <w:b/>
        <w:bCs/>
        <w:i/>
        <w:iCs/>
        <w:spacing w:val="-2"/>
        <w:w w:val="99"/>
        <w:sz w:val="20"/>
        <w:szCs w:val="20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127" w:hanging="235"/>
        <w:jc w:val="left"/>
      </w:pPr>
      <w:rPr>
        <w:rFonts w:hint="default" w:ascii="Calibri" w:hAnsi="Calibri" w:eastAsia="Calibri" w:cs="Calibri"/>
        <w:b w:val="0"/>
        <w:bCs w:val="0"/>
        <w:i/>
        <w:iCs/>
        <w:spacing w:val="0"/>
        <w:w w:val="100"/>
        <w:sz w:val="22"/>
        <w:szCs w:val="22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274" w:hanging="23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249" w:hanging="23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224" w:hanging="23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198" w:hanging="23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73" w:hanging="23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48" w:hanging="23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122" w:hanging="235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848" w:hanging="36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63" w:hanging="36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86" w:hanging="3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09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32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56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779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602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25" w:hanging="361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48" w:hanging="36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63" w:hanging="36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86" w:hanging="3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09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32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56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779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602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25" w:hanging="361"/>
      </w:pPr>
      <w:rPr>
        <w:rFonts w:hint="default"/>
        <w:lang w:val="pt-PT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27"/>
    </w:pPr>
    <w:rPr>
      <w:rFonts w:ascii="Calibri" w:hAnsi="Calibri" w:eastAsia="Calibri" w:cs="Calibri"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27"/>
      <w:outlineLvl w:val="1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296" w:hanging="169"/>
      <w:outlineLvl w:val="2"/>
    </w:pPr>
    <w:rPr>
      <w:rFonts w:ascii="Calibri" w:hAnsi="Calibri" w:eastAsia="Calibri" w:cs="Calibri"/>
      <w:b/>
      <w:bCs/>
      <w:i/>
      <w:iCs/>
      <w:sz w:val="22"/>
      <w:szCs w:val="22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43" w:right="135"/>
      <w:jc w:val="center"/>
    </w:pPr>
    <w:rPr>
      <w:rFonts w:ascii="Calibri" w:hAnsi="Calibri" w:eastAsia="Calibri" w:cs="Calibri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296" w:hanging="169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dcterms:created xsi:type="dcterms:W3CDTF">2026-08-03T17:28:22Z</dcterms:created>
  <dcterms:modified xsi:type="dcterms:W3CDTF">2026-08-03T17:28:22Z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2026-08-03T00:00:00Z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2026-08-03T00:00:00Z</vt:filetime>
  </property>
</Properties>
</file>